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11E84" w14:textId="77777777" w:rsidR="00CF6545" w:rsidRPr="0079073F" w:rsidRDefault="00CC6901" w:rsidP="00CF6545">
      <w:pPr>
        <w:spacing w:before="120" w:after="120"/>
        <w:jc w:val="center"/>
        <w:rPr>
          <w:rFonts w:cs="Tahoma"/>
          <w:noProof/>
          <w:snapToGrid w:val="0"/>
        </w:rPr>
      </w:pPr>
      <w:r>
        <w:rPr>
          <w:noProof/>
        </w:rPr>
        <w:drawing>
          <wp:inline distT="0" distB="0" distL="0" distR="0" wp14:anchorId="1B081E95" wp14:editId="2189F9A2">
            <wp:extent cx="1996440" cy="1623060"/>
            <wp:effectExtent l="0" t="0" r="3810" b="0"/>
            <wp:docPr id="1" name="Picture 1" descr="C:\Users\neo\AppData\Local\Microsoft\Windows\Temporary Internet Files\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eo\AppData\Local\Microsoft\Windows\Temporary Internet Files\Content.Word\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6440" cy="1623060"/>
                    </a:xfrm>
                    <a:prstGeom prst="rect">
                      <a:avLst/>
                    </a:prstGeom>
                    <a:noFill/>
                    <a:ln>
                      <a:noFill/>
                    </a:ln>
                  </pic:spPr>
                </pic:pic>
              </a:graphicData>
            </a:graphic>
          </wp:inline>
        </w:drawing>
      </w:r>
    </w:p>
    <w:p w14:paraId="736C7462" w14:textId="77777777" w:rsidR="00CF6545" w:rsidRPr="0079073F" w:rsidRDefault="00CF6545" w:rsidP="00CF6545">
      <w:pPr>
        <w:spacing w:before="120" w:after="120"/>
        <w:jc w:val="center"/>
        <w:rPr>
          <w:rFonts w:cs="Tahoma"/>
          <w:noProof/>
          <w:snapToGrid w:val="0"/>
        </w:rPr>
      </w:pPr>
    </w:p>
    <w:p w14:paraId="22B9C9EA" w14:textId="77777777" w:rsidR="00CF6545" w:rsidRPr="0079073F" w:rsidRDefault="00CF6545" w:rsidP="006750B6">
      <w:pPr>
        <w:spacing w:before="120" w:after="120"/>
        <w:rPr>
          <w:rFonts w:cs="Tahoma"/>
          <w:noProof/>
          <w:snapToGrid w:val="0"/>
        </w:rPr>
      </w:pPr>
    </w:p>
    <w:p w14:paraId="4C83E8A7" w14:textId="77777777" w:rsidR="00CF6545" w:rsidRPr="0079073F" w:rsidRDefault="00CF6545" w:rsidP="00CF6545">
      <w:pPr>
        <w:spacing w:before="120" w:after="120"/>
        <w:jc w:val="center"/>
        <w:rPr>
          <w:rFonts w:cs="Tahoma"/>
          <w:noProof/>
          <w:snapToGrid w:val="0"/>
        </w:rPr>
      </w:pPr>
    </w:p>
    <w:p w14:paraId="7B8135EA" w14:textId="77777777" w:rsidR="00CF6545" w:rsidRPr="0079073F" w:rsidRDefault="00CF6545" w:rsidP="00CF6545">
      <w:pPr>
        <w:spacing w:before="120" w:after="120"/>
        <w:jc w:val="center"/>
        <w:rPr>
          <w:rFonts w:cs="Tahoma"/>
          <w:noProof/>
          <w:snapToGrid w:val="0"/>
        </w:rPr>
      </w:pPr>
    </w:p>
    <w:p w14:paraId="26FE5DC0" w14:textId="77777777" w:rsidR="00CF6545" w:rsidRPr="0079073F" w:rsidRDefault="00CF6545" w:rsidP="00CF6545">
      <w:pPr>
        <w:spacing w:before="120" w:after="120"/>
        <w:jc w:val="center"/>
        <w:rPr>
          <w:rFonts w:cs="Tahoma"/>
          <w:noProof/>
          <w:snapToGrid w:val="0"/>
        </w:rPr>
      </w:pPr>
    </w:p>
    <w:p w14:paraId="075F5F74" w14:textId="77777777" w:rsidR="005A4C98" w:rsidRDefault="0079073F" w:rsidP="005A4C98">
      <w:pPr>
        <w:spacing w:after="0"/>
        <w:jc w:val="center"/>
        <w:rPr>
          <w:rFonts w:cs="Tahoma"/>
          <w:b/>
          <w:noProof/>
          <w:snapToGrid w:val="0"/>
          <w:sz w:val="28"/>
        </w:rPr>
      </w:pPr>
      <w:r>
        <w:rPr>
          <w:rFonts w:cs="Tahoma"/>
          <w:b/>
          <w:noProof/>
          <w:snapToGrid w:val="0"/>
          <w:sz w:val="28"/>
        </w:rPr>
        <w:t>SABIEDRĪBA AR IEROBEŽOTU ATBILD</w:t>
      </w:r>
      <w:r w:rsidR="005A4C98">
        <w:rPr>
          <w:rFonts w:cs="Tahoma"/>
          <w:b/>
          <w:noProof/>
          <w:snapToGrid w:val="0"/>
          <w:sz w:val="28"/>
        </w:rPr>
        <w:t>ĪBU</w:t>
      </w:r>
      <w:r w:rsidR="00CF6545" w:rsidRPr="0079073F">
        <w:rPr>
          <w:rFonts w:cs="Tahoma"/>
          <w:b/>
          <w:noProof/>
          <w:snapToGrid w:val="0"/>
          <w:sz w:val="28"/>
        </w:rPr>
        <w:t xml:space="preserve"> </w:t>
      </w:r>
    </w:p>
    <w:p w14:paraId="70DD8A4D" w14:textId="77777777" w:rsidR="00CF6545" w:rsidRDefault="00CF6545" w:rsidP="005A4C98">
      <w:pPr>
        <w:spacing w:after="0"/>
        <w:jc w:val="center"/>
        <w:rPr>
          <w:rFonts w:cs="Tahoma"/>
          <w:b/>
          <w:noProof/>
          <w:snapToGrid w:val="0"/>
          <w:sz w:val="28"/>
        </w:rPr>
      </w:pPr>
      <w:r w:rsidRPr="0079073F">
        <w:rPr>
          <w:rFonts w:cs="Tahoma"/>
          <w:b/>
          <w:noProof/>
          <w:snapToGrid w:val="0"/>
          <w:sz w:val="28"/>
        </w:rPr>
        <w:t>“</w:t>
      </w:r>
      <w:r w:rsidR="00B15DF8">
        <w:rPr>
          <w:rFonts w:cs="Tahoma"/>
          <w:b/>
          <w:noProof/>
          <w:snapToGrid w:val="0"/>
          <w:sz w:val="28"/>
        </w:rPr>
        <w:t>LIMBAŽU SLIMNĪCA</w:t>
      </w:r>
      <w:r w:rsidRPr="0079073F">
        <w:rPr>
          <w:rFonts w:cs="Tahoma"/>
          <w:b/>
          <w:noProof/>
          <w:snapToGrid w:val="0"/>
          <w:sz w:val="28"/>
        </w:rPr>
        <w:t>”</w:t>
      </w:r>
    </w:p>
    <w:p w14:paraId="650DC1EE" w14:textId="6292C458" w:rsidR="007A44AA" w:rsidRPr="00372B15" w:rsidRDefault="007A44AA" w:rsidP="005A4C98">
      <w:pPr>
        <w:spacing w:after="0"/>
        <w:jc w:val="center"/>
        <w:rPr>
          <w:rFonts w:cs="Tahoma"/>
          <w:b/>
          <w:noProof/>
          <w:snapToGrid w:val="0"/>
          <w:sz w:val="28"/>
        </w:rPr>
      </w:pPr>
      <w:r w:rsidRPr="00372B15">
        <w:rPr>
          <w:rFonts w:cs="Tahoma"/>
          <w:b/>
          <w:noProof/>
          <w:snapToGrid w:val="0"/>
          <w:sz w:val="28"/>
        </w:rPr>
        <w:t>(Mazā Sabiedrība)</w:t>
      </w:r>
    </w:p>
    <w:p w14:paraId="7E0FAFC5" w14:textId="77777777" w:rsidR="00CF6545" w:rsidRPr="0079073F" w:rsidRDefault="00CF6545" w:rsidP="00CF6545">
      <w:pPr>
        <w:spacing w:before="120" w:after="120"/>
        <w:jc w:val="center"/>
        <w:rPr>
          <w:rFonts w:cs="Tahoma"/>
          <w:b/>
          <w:noProof/>
          <w:snapToGrid w:val="0"/>
        </w:rPr>
      </w:pPr>
    </w:p>
    <w:p w14:paraId="3AD705E3" w14:textId="14D32BA0" w:rsidR="00CF6545" w:rsidRPr="0079073F" w:rsidRDefault="008E3E5A" w:rsidP="00CF6545">
      <w:pPr>
        <w:pBdr>
          <w:bottom w:val="single" w:sz="4" w:space="1" w:color="auto"/>
        </w:pBdr>
        <w:spacing w:before="240" w:after="240"/>
        <w:jc w:val="center"/>
        <w:rPr>
          <w:rFonts w:cs="Tahoma"/>
          <w:b/>
          <w:noProof/>
          <w:snapToGrid w:val="0"/>
          <w:sz w:val="28"/>
        </w:rPr>
      </w:pPr>
      <w:r>
        <w:rPr>
          <w:rFonts w:cs="Tahoma"/>
          <w:b/>
          <w:noProof/>
          <w:snapToGrid w:val="0"/>
          <w:sz w:val="28"/>
        </w:rPr>
        <w:t>20</w:t>
      </w:r>
      <w:r w:rsidR="0093237F">
        <w:rPr>
          <w:rFonts w:cs="Tahoma"/>
          <w:b/>
          <w:noProof/>
          <w:snapToGrid w:val="0"/>
          <w:sz w:val="28"/>
        </w:rPr>
        <w:t>2</w:t>
      </w:r>
      <w:r w:rsidR="00B411E7">
        <w:rPr>
          <w:rFonts w:cs="Tahoma"/>
          <w:b/>
          <w:noProof/>
          <w:snapToGrid w:val="0"/>
          <w:sz w:val="28"/>
        </w:rPr>
        <w:t>2</w:t>
      </w:r>
      <w:r>
        <w:rPr>
          <w:rFonts w:cs="Tahoma"/>
          <w:b/>
          <w:noProof/>
          <w:snapToGrid w:val="0"/>
          <w:sz w:val="28"/>
        </w:rPr>
        <w:t>.</w:t>
      </w:r>
      <w:r w:rsidR="00B34907">
        <w:rPr>
          <w:rFonts w:cs="Tahoma"/>
          <w:b/>
          <w:noProof/>
          <w:snapToGrid w:val="0"/>
          <w:sz w:val="28"/>
        </w:rPr>
        <w:t xml:space="preserve"> </w:t>
      </w:r>
      <w:r w:rsidR="00364C97">
        <w:rPr>
          <w:rFonts w:cs="Tahoma"/>
          <w:b/>
          <w:noProof/>
          <w:snapToGrid w:val="0"/>
          <w:sz w:val="28"/>
        </w:rPr>
        <w:t>GADA</w:t>
      </w:r>
      <w:r w:rsidR="00C21E06">
        <w:rPr>
          <w:rFonts w:cs="Tahoma"/>
          <w:b/>
          <w:noProof/>
          <w:snapToGrid w:val="0"/>
          <w:sz w:val="28"/>
        </w:rPr>
        <w:t xml:space="preserve"> 1. ceturkšņa</w:t>
      </w:r>
      <w:r w:rsidR="00364C97">
        <w:rPr>
          <w:rFonts w:cs="Tahoma"/>
          <w:b/>
          <w:noProof/>
          <w:snapToGrid w:val="0"/>
          <w:sz w:val="28"/>
        </w:rPr>
        <w:t xml:space="preserve"> </w:t>
      </w:r>
      <w:r w:rsidR="00443893">
        <w:rPr>
          <w:rFonts w:cs="Tahoma"/>
          <w:b/>
          <w:noProof/>
          <w:snapToGrid w:val="0"/>
          <w:sz w:val="28"/>
        </w:rPr>
        <w:t xml:space="preserve">zvērināta revidenta nepārbaudīts </w:t>
      </w:r>
      <w:r w:rsidR="00126389">
        <w:rPr>
          <w:rFonts w:cs="Tahoma"/>
          <w:b/>
          <w:noProof/>
          <w:snapToGrid w:val="0"/>
          <w:sz w:val="28"/>
        </w:rPr>
        <w:t>OPERATĪVAIS</w:t>
      </w:r>
      <w:r w:rsidR="00443893">
        <w:rPr>
          <w:rFonts w:cs="Tahoma"/>
          <w:b/>
          <w:noProof/>
          <w:snapToGrid w:val="0"/>
          <w:sz w:val="28"/>
        </w:rPr>
        <w:t xml:space="preserve"> PĀRSKATS</w:t>
      </w:r>
    </w:p>
    <w:p w14:paraId="6609AFE7" w14:textId="77777777" w:rsidR="00CF6545" w:rsidRPr="0079073F" w:rsidRDefault="00562677" w:rsidP="00CF6545">
      <w:pPr>
        <w:spacing w:before="120" w:after="240"/>
        <w:ind w:right="-330"/>
        <w:jc w:val="center"/>
        <w:rPr>
          <w:rFonts w:cs="Tahoma"/>
          <w:b/>
          <w:noProof/>
          <w:snapToGrid w:val="0"/>
        </w:rPr>
      </w:pPr>
      <w:r>
        <w:rPr>
          <w:rFonts w:cs="Tahoma"/>
          <w:b/>
          <w:noProof/>
          <w:snapToGrid w:val="0"/>
        </w:rPr>
        <w:t xml:space="preserve">SAGATAVOTS SASKAŅĀ AR GADA PĀRSKATU UN KONSOLIDĒTO GADA PĀRSKATU LIKUMU </w:t>
      </w:r>
    </w:p>
    <w:p w14:paraId="1CAE13FA" w14:textId="77777777" w:rsidR="00CF6545" w:rsidRPr="0079073F" w:rsidRDefault="00CF6545" w:rsidP="00CF6545">
      <w:pPr>
        <w:shd w:val="clear" w:color="auto" w:fill="FFFFFF"/>
        <w:spacing w:before="120" w:after="120"/>
        <w:jc w:val="center"/>
        <w:rPr>
          <w:rFonts w:cs="Tahoma"/>
          <w:szCs w:val="18"/>
        </w:rPr>
      </w:pPr>
    </w:p>
    <w:p w14:paraId="24FF19BF" w14:textId="77777777" w:rsidR="00CF6545" w:rsidRPr="0079073F" w:rsidRDefault="00CF6545" w:rsidP="00CF6545">
      <w:pPr>
        <w:shd w:val="clear" w:color="auto" w:fill="FFFFFF"/>
        <w:spacing w:before="120" w:after="120"/>
        <w:jc w:val="center"/>
        <w:rPr>
          <w:rFonts w:cs="Tahoma"/>
          <w:szCs w:val="18"/>
        </w:rPr>
      </w:pPr>
    </w:p>
    <w:p w14:paraId="698B8A54" w14:textId="77777777" w:rsidR="00CF6545" w:rsidRPr="0079073F" w:rsidRDefault="00CF6545" w:rsidP="00CF6545">
      <w:pPr>
        <w:shd w:val="clear" w:color="auto" w:fill="FFFFFF"/>
        <w:spacing w:before="120" w:after="120"/>
        <w:jc w:val="center"/>
        <w:rPr>
          <w:rFonts w:cs="Tahoma"/>
          <w:szCs w:val="18"/>
        </w:rPr>
      </w:pPr>
    </w:p>
    <w:p w14:paraId="29469F78" w14:textId="77777777" w:rsidR="00CF6545" w:rsidRPr="0079073F" w:rsidRDefault="00CF6545" w:rsidP="006750B6">
      <w:pPr>
        <w:shd w:val="clear" w:color="auto" w:fill="FFFFFF"/>
        <w:spacing w:before="120" w:after="120"/>
        <w:rPr>
          <w:rFonts w:cs="Tahoma"/>
          <w:szCs w:val="18"/>
        </w:rPr>
      </w:pPr>
    </w:p>
    <w:p w14:paraId="1560881A" w14:textId="77777777" w:rsidR="00CF6545" w:rsidRPr="0079073F" w:rsidRDefault="00CF6545" w:rsidP="00CF6545">
      <w:pPr>
        <w:shd w:val="clear" w:color="auto" w:fill="FFFFFF"/>
        <w:spacing w:before="120" w:after="120"/>
        <w:jc w:val="center"/>
        <w:rPr>
          <w:rFonts w:cs="Tahoma"/>
          <w:szCs w:val="18"/>
        </w:rPr>
      </w:pPr>
    </w:p>
    <w:p w14:paraId="33520831" w14:textId="77777777" w:rsidR="00CF6545" w:rsidRPr="0079073F" w:rsidRDefault="00CF6545" w:rsidP="00CF6545">
      <w:pPr>
        <w:shd w:val="clear" w:color="auto" w:fill="FFFFFF"/>
        <w:spacing w:before="120" w:after="120"/>
        <w:jc w:val="center"/>
        <w:rPr>
          <w:rFonts w:cs="Tahoma"/>
          <w:szCs w:val="18"/>
        </w:rPr>
      </w:pPr>
    </w:p>
    <w:p w14:paraId="6D1102DC" w14:textId="77777777" w:rsidR="00CF6545" w:rsidRPr="0079073F" w:rsidRDefault="00CF6545" w:rsidP="00CF6545">
      <w:pPr>
        <w:shd w:val="clear" w:color="auto" w:fill="FFFFFF"/>
        <w:spacing w:before="120" w:after="120"/>
        <w:jc w:val="center"/>
        <w:rPr>
          <w:rFonts w:cs="Tahoma"/>
          <w:szCs w:val="18"/>
        </w:rPr>
      </w:pPr>
    </w:p>
    <w:p w14:paraId="40A7A191" w14:textId="77777777" w:rsidR="00916627" w:rsidRPr="0079073F" w:rsidRDefault="00916627" w:rsidP="00CF6545">
      <w:pPr>
        <w:shd w:val="clear" w:color="auto" w:fill="FFFFFF"/>
        <w:spacing w:before="120" w:after="120"/>
        <w:jc w:val="center"/>
        <w:rPr>
          <w:rFonts w:cs="Tahoma"/>
          <w:szCs w:val="18"/>
        </w:rPr>
      </w:pPr>
    </w:p>
    <w:p w14:paraId="79EE0406" w14:textId="77777777" w:rsidR="00CF6545" w:rsidRPr="0079073F" w:rsidRDefault="00CF6545" w:rsidP="00CF6545">
      <w:pPr>
        <w:shd w:val="clear" w:color="auto" w:fill="FFFFFF"/>
        <w:spacing w:before="120" w:after="120"/>
        <w:jc w:val="center"/>
        <w:rPr>
          <w:rFonts w:cs="Tahoma"/>
          <w:szCs w:val="18"/>
        </w:rPr>
      </w:pPr>
    </w:p>
    <w:p w14:paraId="3B1D5DE7" w14:textId="77777777" w:rsidR="00CF6545" w:rsidRPr="0079073F" w:rsidRDefault="00CF6545" w:rsidP="00CF6545">
      <w:pPr>
        <w:shd w:val="clear" w:color="auto" w:fill="FFFFFF"/>
        <w:spacing w:before="120" w:after="120"/>
        <w:jc w:val="center"/>
        <w:rPr>
          <w:rFonts w:cs="Tahoma"/>
          <w:szCs w:val="18"/>
        </w:rPr>
      </w:pPr>
    </w:p>
    <w:p w14:paraId="70A84D58" w14:textId="77777777" w:rsidR="00CF6545" w:rsidRPr="0079073F" w:rsidRDefault="00CF6545" w:rsidP="00CF6545">
      <w:pPr>
        <w:shd w:val="clear" w:color="auto" w:fill="FFFFFF"/>
        <w:spacing w:before="120" w:after="120"/>
        <w:jc w:val="center"/>
        <w:rPr>
          <w:rFonts w:cs="Tahoma"/>
          <w:szCs w:val="18"/>
        </w:rPr>
      </w:pPr>
    </w:p>
    <w:p w14:paraId="03AC0E6D" w14:textId="77777777" w:rsidR="00CF6545" w:rsidRPr="0079073F" w:rsidRDefault="00CF6545" w:rsidP="00CF6545">
      <w:pPr>
        <w:shd w:val="clear" w:color="auto" w:fill="FFFFFF"/>
        <w:spacing w:before="120" w:after="120"/>
        <w:jc w:val="center"/>
        <w:rPr>
          <w:rFonts w:cs="Tahoma"/>
          <w:szCs w:val="18"/>
        </w:rPr>
      </w:pPr>
    </w:p>
    <w:p w14:paraId="7AB21CF9" w14:textId="77777777" w:rsidR="00CF6545" w:rsidRPr="0079073F" w:rsidRDefault="00CF6545" w:rsidP="00CF6545">
      <w:pPr>
        <w:shd w:val="clear" w:color="auto" w:fill="FFFFFF"/>
        <w:spacing w:before="120" w:after="120"/>
        <w:jc w:val="center"/>
        <w:rPr>
          <w:rFonts w:cs="Tahoma"/>
          <w:szCs w:val="18"/>
        </w:rPr>
      </w:pPr>
    </w:p>
    <w:p w14:paraId="1E0E7133" w14:textId="77777777" w:rsidR="00CF6545" w:rsidRPr="0079073F" w:rsidRDefault="00CF6545" w:rsidP="00CF6545">
      <w:pPr>
        <w:shd w:val="clear" w:color="auto" w:fill="FFFFFF"/>
        <w:spacing w:before="120" w:after="120"/>
        <w:jc w:val="center"/>
        <w:rPr>
          <w:rFonts w:cs="Tahoma"/>
          <w:szCs w:val="18"/>
        </w:rPr>
      </w:pPr>
    </w:p>
    <w:p w14:paraId="2B196501" w14:textId="77777777" w:rsidR="00CF6545" w:rsidRPr="0079073F" w:rsidRDefault="00CF6545" w:rsidP="00CF6545">
      <w:pPr>
        <w:shd w:val="clear" w:color="auto" w:fill="FFFFFF"/>
        <w:spacing w:before="120" w:after="120"/>
        <w:jc w:val="center"/>
        <w:rPr>
          <w:rFonts w:cs="Tahoma"/>
          <w:szCs w:val="18"/>
        </w:rPr>
      </w:pPr>
    </w:p>
    <w:p w14:paraId="0844A90A" w14:textId="270B9698" w:rsidR="00CF6545" w:rsidRPr="00372B15" w:rsidRDefault="00B15DF8" w:rsidP="00CF6545">
      <w:pPr>
        <w:spacing w:before="120" w:after="120"/>
        <w:jc w:val="center"/>
        <w:rPr>
          <w:rFonts w:cs="Tahoma"/>
          <w:szCs w:val="18"/>
        </w:rPr>
      </w:pPr>
      <w:r>
        <w:rPr>
          <w:rFonts w:cs="Tahoma"/>
          <w:szCs w:val="18"/>
        </w:rPr>
        <w:t>Limbaži</w:t>
      </w:r>
    </w:p>
    <w:p w14:paraId="467FC7BA" w14:textId="77777777" w:rsidR="00AC1DDD" w:rsidRPr="00A84647" w:rsidRDefault="00CF6545" w:rsidP="00AC1DDD">
      <w:pPr>
        <w:spacing w:before="240" w:after="360"/>
        <w:rPr>
          <w:rFonts w:cs="Tahoma"/>
          <w:b/>
          <w:color w:val="575756"/>
          <w:szCs w:val="18"/>
        </w:rPr>
      </w:pPr>
      <w:r w:rsidRPr="0079073F">
        <w:rPr>
          <w:rFonts w:cs="Tahoma"/>
          <w:szCs w:val="18"/>
        </w:rPr>
        <w:br w:type="page"/>
      </w:r>
      <w:bookmarkStart w:id="0" w:name="_Toc473130133"/>
      <w:r w:rsidR="00AC1DDD" w:rsidRPr="00A84647">
        <w:rPr>
          <w:rFonts w:cs="Tahoma"/>
          <w:b/>
          <w:color w:val="575756"/>
          <w:szCs w:val="18"/>
        </w:rPr>
        <w:lastRenderedPageBreak/>
        <w:t>SATURS</w:t>
      </w:r>
    </w:p>
    <w:p w14:paraId="2F1DFF2A" w14:textId="5491BA97" w:rsidR="00AC1DDD" w:rsidRPr="00D75556" w:rsidRDefault="00AC1DDD" w:rsidP="00AC1DDD">
      <w:pPr>
        <w:pStyle w:val="Saturs1"/>
        <w:rPr>
          <w:rFonts w:ascii="Calibri" w:eastAsia="Times New Roman" w:hAnsi="Calibri"/>
          <w:noProof/>
        </w:rPr>
      </w:pPr>
      <w:r w:rsidRPr="00D75556">
        <w:rPr>
          <w:rFonts w:cs="Tahoma"/>
        </w:rPr>
        <w:fldChar w:fldCharType="begin"/>
      </w:r>
      <w:r w:rsidRPr="00D75556">
        <w:rPr>
          <w:rFonts w:cs="Tahoma"/>
        </w:rPr>
        <w:instrText xml:space="preserve"> TOC \o "1-3" \h \z \u </w:instrText>
      </w:r>
      <w:r w:rsidRPr="00D75556">
        <w:rPr>
          <w:rFonts w:cs="Tahoma"/>
        </w:rPr>
        <w:fldChar w:fldCharType="separate"/>
      </w:r>
      <w:r>
        <w:rPr>
          <w:rFonts w:cs="Tahoma"/>
        </w:rPr>
        <w:t>Bilance…………………………………………………..…………………………………………………………………………………………………</w:t>
      </w:r>
      <w:r w:rsidR="00AB1A99">
        <w:rPr>
          <w:rFonts w:cs="Tahoma"/>
        </w:rPr>
        <w:t>3</w:t>
      </w:r>
    </w:p>
    <w:p w14:paraId="2CD2CADF" w14:textId="7DE6BA34" w:rsidR="00AC1DDD" w:rsidRPr="00D75556" w:rsidRDefault="00000000" w:rsidP="00AC1DDD">
      <w:pPr>
        <w:pStyle w:val="Saturs1"/>
        <w:rPr>
          <w:noProof/>
        </w:rPr>
      </w:pPr>
      <w:hyperlink w:anchor="_Toc473130134" w:history="1">
        <w:r w:rsidR="00AC1DDD" w:rsidRPr="00D75556">
          <w:rPr>
            <w:rStyle w:val="Hipersaite"/>
            <w:rFonts w:cs="Tahoma"/>
            <w:noProof/>
            <w:color w:val="auto"/>
            <w:szCs w:val="18"/>
          </w:rPr>
          <w:t>Peļņas vai zaudējumu aprēķins</w:t>
        </w:r>
        <w:r w:rsidR="00AC1DDD" w:rsidRPr="00D75556">
          <w:rPr>
            <w:noProof/>
            <w:webHidden/>
          </w:rPr>
          <w:tab/>
        </w:r>
      </w:hyperlink>
      <w:r w:rsidR="00AB1A99">
        <w:rPr>
          <w:noProof/>
        </w:rPr>
        <w:t>5</w:t>
      </w:r>
    </w:p>
    <w:p w14:paraId="2DBD93F8" w14:textId="7E8DBB39" w:rsidR="00AC1DDD" w:rsidRPr="00D75556" w:rsidRDefault="00AC1DDD" w:rsidP="00AC1DDD">
      <w:pPr>
        <w:spacing w:after="0"/>
        <w:jc w:val="both"/>
      </w:pPr>
      <w:r w:rsidRPr="00D75556">
        <w:t>Naudas plūsmas pārskats..............................................................</w:t>
      </w:r>
      <w:r>
        <w:t>.</w:t>
      </w:r>
      <w:r w:rsidRPr="00D75556">
        <w:t>................................................................</w:t>
      </w:r>
      <w:r w:rsidR="00AB1A99">
        <w:t>6</w:t>
      </w:r>
    </w:p>
    <w:p w14:paraId="5CE26B75" w14:textId="279F6AF2" w:rsidR="00AC1DDD" w:rsidRPr="00D75556" w:rsidRDefault="00AC1DDD" w:rsidP="00AC1DDD">
      <w:pPr>
        <w:spacing w:after="0"/>
        <w:jc w:val="both"/>
      </w:pPr>
      <w:r w:rsidRPr="00D75556">
        <w:t>Pašu kapitāla izmaiņu pārskats.......................................................................................................................</w:t>
      </w:r>
      <w:r w:rsidR="00AB1A99">
        <w:t>7</w:t>
      </w:r>
    </w:p>
    <w:p w14:paraId="75414396" w14:textId="26EFC0FD" w:rsidR="00AC1DDD" w:rsidRPr="00D75556" w:rsidRDefault="00000000" w:rsidP="00AC1DDD">
      <w:pPr>
        <w:pStyle w:val="Saturs1"/>
        <w:rPr>
          <w:rFonts w:ascii="Calibri" w:eastAsia="Times New Roman" w:hAnsi="Calibri"/>
          <w:noProof/>
          <w:szCs w:val="18"/>
        </w:rPr>
      </w:pPr>
      <w:hyperlink w:anchor="_Toc473130137" w:history="1">
        <w:r w:rsidR="00AC1DDD">
          <w:rPr>
            <w:rStyle w:val="Hipersaite"/>
            <w:rFonts w:cs="Tahoma"/>
            <w:noProof/>
            <w:color w:val="auto"/>
            <w:szCs w:val="18"/>
          </w:rPr>
          <w:t>Informācija par Sabiedrību</w:t>
        </w:r>
        <w:r w:rsidR="00AC1DDD" w:rsidRPr="00D75556">
          <w:rPr>
            <w:noProof/>
            <w:webHidden/>
            <w:szCs w:val="18"/>
          </w:rPr>
          <w:tab/>
        </w:r>
        <w:r w:rsidR="00AB1A99">
          <w:rPr>
            <w:noProof/>
            <w:webHidden/>
            <w:szCs w:val="18"/>
          </w:rPr>
          <w:t>8</w:t>
        </w:r>
      </w:hyperlink>
    </w:p>
    <w:p w14:paraId="63CADAC2" w14:textId="57061FE1" w:rsidR="00AC1DDD" w:rsidRPr="00D75556" w:rsidRDefault="00000000" w:rsidP="00AC1DDD">
      <w:pPr>
        <w:pStyle w:val="Saturs1"/>
        <w:rPr>
          <w:rStyle w:val="Hipersaite"/>
          <w:noProof/>
          <w:color w:val="auto"/>
          <w:szCs w:val="18"/>
        </w:rPr>
      </w:pPr>
      <w:hyperlink w:anchor="_Toc473130138" w:history="1">
        <w:r w:rsidR="00AC1DDD" w:rsidRPr="00D75556">
          <w:rPr>
            <w:rStyle w:val="Hipersaite"/>
            <w:rFonts w:cs="Tahoma"/>
            <w:noProof/>
            <w:color w:val="auto"/>
            <w:szCs w:val="18"/>
          </w:rPr>
          <w:t>Vadības ziņojums</w:t>
        </w:r>
        <w:r w:rsidR="00AC1DDD" w:rsidRPr="00D75556">
          <w:rPr>
            <w:noProof/>
            <w:webHidden/>
          </w:rPr>
          <w:tab/>
          <w:t>....</w:t>
        </w:r>
        <w:r w:rsidR="00AB1A99">
          <w:rPr>
            <w:noProof/>
            <w:webHidden/>
          </w:rPr>
          <w:t>9</w:t>
        </w:r>
      </w:hyperlink>
    </w:p>
    <w:p w14:paraId="78373BAF" w14:textId="77777777" w:rsidR="00AC1DDD" w:rsidRPr="00D75556" w:rsidRDefault="00AC1DDD" w:rsidP="00AC1DDD">
      <w:pPr>
        <w:rPr>
          <w:szCs w:val="18"/>
        </w:rPr>
      </w:pPr>
    </w:p>
    <w:p w14:paraId="22A8BB7F" w14:textId="30754605" w:rsidR="00421CEF" w:rsidRDefault="00AC1DDD" w:rsidP="00AC1DDD">
      <w:pPr>
        <w:spacing w:before="240" w:after="360"/>
        <w:rPr>
          <w:rFonts w:cs="Tahoma"/>
          <w:b/>
          <w:bCs/>
          <w:noProof/>
          <w:szCs w:val="18"/>
        </w:rPr>
      </w:pPr>
      <w:r w:rsidRPr="00D75556">
        <w:rPr>
          <w:rFonts w:cs="Tahoma"/>
          <w:b/>
          <w:bCs/>
          <w:noProof/>
          <w:szCs w:val="18"/>
        </w:rPr>
        <w:fldChar w:fldCharType="end"/>
      </w:r>
    </w:p>
    <w:p w14:paraId="1E0BFD9E" w14:textId="47EAA6B6" w:rsidR="00AC1DDD" w:rsidRDefault="00AC1DDD" w:rsidP="00AC1DDD">
      <w:pPr>
        <w:spacing w:before="240" w:after="360"/>
        <w:rPr>
          <w:rFonts w:cs="Tahoma"/>
          <w:b/>
          <w:bCs/>
          <w:noProof/>
          <w:szCs w:val="18"/>
        </w:rPr>
      </w:pPr>
    </w:p>
    <w:p w14:paraId="100A6B69" w14:textId="7AC76612" w:rsidR="00AC1DDD" w:rsidRDefault="00AC1DDD" w:rsidP="00AC1DDD">
      <w:pPr>
        <w:spacing w:before="240" w:after="360"/>
        <w:rPr>
          <w:rFonts w:cs="Tahoma"/>
          <w:b/>
          <w:bCs/>
          <w:noProof/>
          <w:szCs w:val="18"/>
        </w:rPr>
      </w:pPr>
    </w:p>
    <w:p w14:paraId="4EA3B2F4" w14:textId="79152290" w:rsidR="00AC1DDD" w:rsidRDefault="00AC1DDD" w:rsidP="00AC1DDD">
      <w:pPr>
        <w:spacing w:before="240" w:after="360"/>
        <w:rPr>
          <w:rFonts w:cs="Tahoma"/>
          <w:b/>
          <w:bCs/>
          <w:noProof/>
          <w:szCs w:val="18"/>
        </w:rPr>
      </w:pPr>
    </w:p>
    <w:p w14:paraId="3ADBEC0B" w14:textId="77777777" w:rsidR="00AC1DDD" w:rsidRDefault="00AC1DDD" w:rsidP="00AC1DDD">
      <w:pPr>
        <w:spacing w:before="240" w:after="360"/>
        <w:rPr>
          <w:szCs w:val="18"/>
        </w:rPr>
      </w:pPr>
    </w:p>
    <w:p w14:paraId="3E2DBBD9" w14:textId="77777777" w:rsidR="00AE55FB" w:rsidRPr="00A84647" w:rsidRDefault="00C9681F" w:rsidP="00F878BD">
      <w:pPr>
        <w:pStyle w:val="Virsraksts1"/>
        <w:spacing w:after="360"/>
        <w:rPr>
          <w:rFonts w:cs="Tahoma"/>
          <w:sz w:val="18"/>
          <w:szCs w:val="18"/>
        </w:rPr>
      </w:pPr>
      <w:r w:rsidRPr="00A84647">
        <w:rPr>
          <w:rFonts w:ascii="Tahoma" w:hAnsi="Tahoma" w:cs="Tahoma"/>
          <w:color w:val="575756"/>
          <w:sz w:val="18"/>
          <w:szCs w:val="18"/>
        </w:rPr>
        <w:lastRenderedPageBreak/>
        <w:t>Bilance</w:t>
      </w:r>
      <w:bookmarkEnd w:id="0"/>
    </w:p>
    <w:bookmarkStart w:id="1" w:name="_MON_1234082330"/>
    <w:bookmarkStart w:id="2" w:name="_MON_1231327194"/>
    <w:bookmarkStart w:id="3" w:name="_MON_1236435145"/>
    <w:bookmarkStart w:id="4" w:name="_MON_1236435392"/>
    <w:bookmarkStart w:id="5" w:name="_MON_1236522258"/>
    <w:bookmarkStart w:id="6" w:name="_MON_1236522650"/>
    <w:bookmarkStart w:id="7" w:name="_MON_1236522724"/>
    <w:bookmarkStart w:id="8" w:name="_MON_1236971107"/>
    <w:bookmarkStart w:id="9" w:name="_MON_1237802478"/>
    <w:bookmarkStart w:id="10" w:name="_MON_1237803215"/>
    <w:bookmarkStart w:id="11" w:name="_MON_1237803375"/>
    <w:bookmarkStart w:id="12" w:name="_MON_1237803421"/>
    <w:bookmarkStart w:id="13" w:name="_MON_1237804482"/>
    <w:bookmarkStart w:id="14" w:name="_MON_1237804522"/>
    <w:bookmarkStart w:id="15" w:name="_MON_1237805951"/>
    <w:bookmarkStart w:id="16" w:name="_MON_1237974695"/>
    <w:bookmarkStart w:id="17" w:name="_MON_1237974772"/>
    <w:bookmarkStart w:id="18" w:name="_MON_1237974808"/>
    <w:bookmarkStart w:id="19" w:name="_MON_1237975453"/>
    <w:bookmarkStart w:id="20" w:name="_MON_1237976421"/>
    <w:bookmarkStart w:id="21" w:name="_MON_1231335636"/>
    <w:bookmarkStart w:id="22" w:name="_MON_1231335832"/>
    <w:bookmarkStart w:id="23" w:name="_MON_1238159094"/>
    <w:bookmarkStart w:id="24" w:name="_MON_1238160353"/>
    <w:bookmarkStart w:id="25" w:name="_MON_1238161112"/>
    <w:bookmarkStart w:id="26" w:name="_MON_1238161732"/>
    <w:bookmarkStart w:id="27" w:name="_MON_1238285524"/>
    <w:bookmarkStart w:id="28" w:name="_MON_1238285894"/>
    <w:bookmarkStart w:id="29" w:name="_MON_1238286502"/>
    <w:bookmarkStart w:id="30" w:name="_MON_1238288512"/>
    <w:bookmarkStart w:id="31" w:name="_MON_1238288655"/>
    <w:bookmarkStart w:id="32" w:name="_MON_1238288708"/>
    <w:bookmarkStart w:id="33" w:name="_MON_1238404359"/>
    <w:bookmarkStart w:id="34" w:name="_MON_1238412157"/>
    <w:bookmarkStart w:id="35" w:name="_MON_1238412186"/>
    <w:bookmarkStart w:id="36" w:name="_MON_1238414452"/>
    <w:bookmarkStart w:id="37" w:name="_MON_1238442625"/>
    <w:bookmarkStart w:id="38" w:name="_MON_1238443394"/>
    <w:bookmarkStart w:id="39" w:name="_MON_1238443660"/>
    <w:bookmarkStart w:id="40" w:name="_MON_1238493841"/>
    <w:bookmarkStart w:id="41" w:name="_MON_1238493899"/>
    <w:bookmarkStart w:id="42" w:name="_MON_1238497316"/>
    <w:bookmarkStart w:id="43" w:name="_MON_1238497378"/>
    <w:bookmarkStart w:id="44" w:name="_MON_1238497781"/>
    <w:bookmarkStart w:id="45" w:name="_MON_1238518901"/>
    <w:bookmarkStart w:id="46" w:name="_MON_1238674995"/>
    <w:bookmarkStart w:id="47" w:name="_MON_1238690667"/>
    <w:bookmarkStart w:id="48" w:name="_MON_1238826629"/>
    <w:bookmarkStart w:id="49" w:name="_MON_1239005598"/>
    <w:bookmarkStart w:id="50" w:name="_MON_1239015546"/>
    <w:bookmarkStart w:id="51" w:name="_MON_1239015633"/>
    <w:bookmarkStart w:id="52" w:name="_MON_1239015694"/>
    <w:bookmarkStart w:id="53" w:name="_MON_1239015834"/>
    <w:bookmarkStart w:id="54" w:name="_MON_1239015896"/>
    <w:bookmarkStart w:id="55" w:name="_MON_1239018301"/>
    <w:bookmarkStart w:id="56" w:name="_MON_1266322868"/>
    <w:bookmarkStart w:id="57" w:name="_MON_1266323089"/>
    <w:bookmarkStart w:id="58" w:name="_MON_1266734863"/>
    <w:bookmarkStart w:id="59" w:name="_MON_1266837942"/>
    <w:bookmarkStart w:id="60" w:name="_MON_1268839905"/>
    <w:bookmarkStart w:id="61" w:name="_MON_1268839916"/>
    <w:bookmarkStart w:id="62" w:name="_MON_1269091559"/>
    <w:bookmarkStart w:id="63" w:name="_MON_1269256175"/>
    <w:bookmarkStart w:id="64" w:name="_MON_1269415214"/>
    <w:bookmarkStart w:id="65" w:name="_MON_1269431141"/>
    <w:bookmarkStart w:id="66" w:name="_MON_1269431297"/>
    <w:bookmarkStart w:id="67" w:name="_MON_1269434670"/>
    <w:bookmarkStart w:id="68" w:name="_MON_1269447967"/>
    <w:bookmarkStart w:id="69" w:name="_MON_1269521861"/>
    <w:bookmarkStart w:id="70" w:name="_MON_1298705277"/>
    <w:bookmarkStart w:id="71" w:name="_MON_1299067432"/>
    <w:bookmarkStart w:id="72" w:name="_MON_1299068228"/>
    <w:bookmarkStart w:id="73" w:name="_MON_1299073769"/>
    <w:bookmarkStart w:id="74" w:name="_MON_1299074271"/>
    <w:bookmarkStart w:id="75" w:name="_MON_1299074350"/>
    <w:bookmarkStart w:id="76" w:name="_MON_1299074576"/>
    <w:bookmarkStart w:id="77" w:name="_MON_1299076472"/>
    <w:bookmarkStart w:id="78" w:name="_MON_1299323808"/>
    <w:bookmarkStart w:id="79" w:name="_MON_1299324379"/>
    <w:bookmarkStart w:id="80" w:name="_MON_1299325616"/>
    <w:bookmarkStart w:id="81" w:name="_MON_1299325915"/>
    <w:bookmarkStart w:id="82" w:name="_MON_1299486229"/>
    <w:bookmarkStart w:id="83" w:name="_MON_1299566847"/>
    <w:bookmarkStart w:id="84" w:name="_MON_1301730112"/>
    <w:bookmarkStart w:id="85" w:name="_MON_1301806867"/>
    <w:bookmarkStart w:id="86" w:name="_MON_1329916954"/>
    <w:bookmarkStart w:id="87" w:name="_MON_1330177574"/>
    <w:bookmarkStart w:id="88" w:name="_MON_1330247824"/>
    <w:bookmarkStart w:id="89" w:name="_MON_1330248011"/>
    <w:bookmarkStart w:id="90" w:name="_MON_1330269594"/>
    <w:bookmarkStart w:id="91" w:name="_MON_1330320182"/>
    <w:bookmarkStart w:id="92" w:name="_MON_1330337784"/>
    <w:bookmarkStart w:id="93" w:name="_MON_1330346031"/>
    <w:bookmarkStart w:id="94" w:name="_MON_1330353823"/>
    <w:bookmarkStart w:id="95" w:name="_MON_1330354404"/>
    <w:bookmarkStart w:id="96" w:name="_MON_1330356802"/>
    <w:bookmarkStart w:id="97" w:name="_MON_1330409089"/>
    <w:bookmarkStart w:id="98" w:name="_MON_1330439905"/>
    <w:bookmarkStart w:id="99" w:name="_MON_1330442803"/>
    <w:bookmarkStart w:id="100" w:name="_MON_1331470865"/>
    <w:bookmarkStart w:id="101" w:name="_MON_1331972559"/>
    <w:bookmarkStart w:id="102" w:name="_MON_1362909200"/>
    <w:bookmarkStart w:id="103" w:name="_MON_1364898130"/>
    <w:bookmarkStart w:id="104" w:name="_MON_1364992617"/>
    <w:bookmarkStart w:id="105" w:name="_MON_1365230962"/>
    <w:bookmarkStart w:id="106" w:name="_MON_1365249767"/>
    <w:bookmarkStart w:id="107" w:name="_MON_1365348123"/>
    <w:bookmarkStart w:id="108" w:name="_MON_1384085741"/>
    <w:bookmarkStart w:id="109" w:name="_MON_1396167286"/>
    <w:bookmarkStart w:id="110" w:name="_MON_1396253379"/>
    <w:bookmarkStart w:id="111" w:name="_MON_1396253475"/>
    <w:bookmarkStart w:id="112" w:name="_MON_1420464938"/>
    <w:bookmarkStart w:id="113" w:name="_MON_1428234142"/>
    <w:bookmarkStart w:id="114" w:name="_MON_1428234287"/>
    <w:bookmarkStart w:id="115" w:name="_MON_1428234292"/>
    <w:bookmarkStart w:id="116" w:name="_MON_1428236224"/>
    <w:bookmarkStart w:id="117" w:name="_MON_1428303249"/>
    <w:bookmarkStart w:id="118" w:name="_MON_1428306675"/>
    <w:bookmarkStart w:id="119" w:name="_MON_1428307322"/>
    <w:bookmarkStart w:id="120" w:name="_MON_1428312581"/>
    <w:bookmarkStart w:id="121" w:name="_MON_1428400343"/>
    <w:bookmarkStart w:id="122" w:name="_MON_1457155438"/>
    <w:bookmarkStart w:id="123" w:name="_MON_1457155706"/>
    <w:bookmarkStart w:id="124" w:name="_MON_1457155733"/>
    <w:bookmarkStart w:id="125" w:name="_MON_1457155750"/>
    <w:bookmarkStart w:id="126" w:name="_MON_1457155767"/>
    <w:bookmarkStart w:id="127" w:name="_MON_1457158527"/>
    <w:bookmarkStart w:id="128" w:name="_MON_1457158576"/>
    <w:bookmarkStart w:id="129" w:name="_MON_1457170576"/>
    <w:bookmarkStart w:id="130" w:name="_MON_1457172334"/>
    <w:bookmarkStart w:id="131" w:name="_MON_1473687551"/>
    <w:bookmarkStart w:id="132" w:name="_MON_1473687936"/>
    <w:bookmarkStart w:id="133" w:name="_MON_1473687955"/>
    <w:bookmarkStart w:id="134" w:name="_MON_1473687981"/>
    <w:bookmarkStart w:id="135" w:name="_MON_1475931078"/>
    <w:bookmarkStart w:id="136" w:name="_MON_1475931484"/>
    <w:bookmarkStart w:id="137" w:name="_MON_1475933768"/>
    <w:bookmarkStart w:id="138" w:name="_MON_1475933835"/>
    <w:bookmarkStart w:id="139" w:name="_MON_1475933842"/>
    <w:bookmarkStart w:id="140" w:name="_MON_1475933849"/>
    <w:bookmarkStart w:id="141" w:name="_MON_1475933865"/>
    <w:bookmarkStart w:id="142" w:name="_MON_1475933869"/>
    <w:bookmarkStart w:id="143" w:name="_MON_1475933879"/>
    <w:bookmarkStart w:id="144" w:name="_MON_1475933885"/>
    <w:bookmarkStart w:id="145" w:name="_MON_1475933892"/>
    <w:bookmarkStart w:id="146" w:name="_MON_1475933899"/>
    <w:bookmarkStart w:id="147" w:name="_MON_1475933909"/>
    <w:bookmarkStart w:id="148" w:name="_MON_1475933934"/>
    <w:bookmarkStart w:id="149" w:name="_MON_1475933960"/>
    <w:bookmarkStart w:id="150" w:name="_MON_1490624253"/>
    <w:bookmarkStart w:id="151" w:name="_MON_1491044225"/>
    <w:bookmarkStart w:id="152" w:name="_MON_1491045421"/>
    <w:bookmarkStart w:id="153" w:name="_MON_1491049944"/>
    <w:bookmarkStart w:id="154" w:name="_MON_1491050276"/>
    <w:bookmarkStart w:id="155" w:name="_MON_1491050758"/>
    <w:bookmarkStart w:id="156" w:name="_MON_1491051788"/>
    <w:bookmarkStart w:id="157" w:name="_MON_1491051832"/>
    <w:bookmarkStart w:id="158" w:name="_MON_1491143911"/>
    <w:bookmarkStart w:id="159" w:name="_MON_1110290742"/>
    <w:bookmarkStart w:id="160" w:name="_MON_1197983229"/>
    <w:bookmarkStart w:id="161" w:name="_MON_1197983453"/>
    <w:bookmarkStart w:id="162" w:name="_MON_1197984306"/>
    <w:bookmarkStart w:id="163" w:name="_MON_1197984335"/>
    <w:bookmarkStart w:id="164" w:name="_MON_1197984409"/>
    <w:bookmarkStart w:id="165" w:name="_MON_1220851168"/>
    <w:bookmarkStart w:id="166" w:name="_MON_122085137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Start w:id="167" w:name="_MON_1222785281"/>
    <w:bookmarkEnd w:id="167"/>
    <w:p w14:paraId="6B1314B0" w14:textId="31F73A3E" w:rsidR="0004391F" w:rsidRDefault="008431E9" w:rsidP="00984307">
      <w:pPr>
        <w:rPr>
          <w:rFonts w:ascii="Arial Narrow" w:hAnsi="Arial Narrow"/>
          <w:szCs w:val="18"/>
        </w:rPr>
      </w:pPr>
      <w:r w:rsidRPr="001A42A9">
        <w:rPr>
          <w:rFonts w:ascii="Arial Narrow" w:hAnsi="Arial Narrow"/>
          <w:szCs w:val="18"/>
        </w:rPr>
        <w:object w:dxaOrig="10723" w:dyaOrig="10194" w14:anchorId="453A8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417.75pt" o:ole="" fillcolor="window">
            <v:imagedata r:id="rId9" o:title=""/>
          </v:shape>
          <o:OLEObject Type="Embed" ProgID="Excel.Sheet.8" ShapeID="_x0000_i1025" DrawAspect="Content" ObjectID="_1735982584" r:id="rId10"/>
        </w:object>
      </w:r>
    </w:p>
    <w:p w14:paraId="581C483E" w14:textId="77777777" w:rsidR="0004391F" w:rsidRPr="00984307" w:rsidRDefault="0004391F" w:rsidP="00984307">
      <w:pPr>
        <w:rPr>
          <w:rFonts w:ascii="Arial Narrow" w:hAnsi="Arial Narrow"/>
          <w:szCs w:val="18"/>
        </w:rPr>
      </w:pPr>
    </w:p>
    <w:p w14:paraId="11E6229E" w14:textId="77777777" w:rsidR="00887DB2" w:rsidRPr="00C76B2E" w:rsidRDefault="00887DB2" w:rsidP="00472B94">
      <w:pPr>
        <w:spacing w:before="120" w:after="120"/>
        <w:jc w:val="both"/>
        <w:rPr>
          <w:rFonts w:cs="Tahoma"/>
          <w:szCs w:val="18"/>
        </w:rPr>
      </w:pPr>
    </w:p>
    <w:p w14:paraId="44CABAB9" w14:textId="77777777" w:rsidR="00887DB2" w:rsidRPr="00A84647" w:rsidRDefault="00887DB2" w:rsidP="00472B94">
      <w:pPr>
        <w:spacing w:before="120" w:after="120"/>
        <w:jc w:val="both"/>
        <w:rPr>
          <w:rFonts w:cs="Tahoma"/>
          <w:szCs w:val="18"/>
        </w:rPr>
      </w:pPr>
    </w:p>
    <w:tbl>
      <w:tblPr>
        <w:tblW w:w="8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67"/>
        <w:gridCol w:w="2330"/>
        <w:gridCol w:w="567"/>
        <w:gridCol w:w="2330"/>
      </w:tblGrid>
      <w:tr w:rsidR="00170082" w:rsidRPr="00A84647" w14:paraId="30262B66" w14:textId="77777777" w:rsidTr="002B1337">
        <w:tc>
          <w:tcPr>
            <w:tcW w:w="2694" w:type="dxa"/>
            <w:tcBorders>
              <w:top w:val="nil"/>
              <w:left w:val="nil"/>
              <w:bottom w:val="nil"/>
              <w:right w:val="nil"/>
            </w:tcBorders>
            <w:shd w:val="clear" w:color="auto" w:fill="auto"/>
          </w:tcPr>
          <w:p w14:paraId="4EB5E857" w14:textId="366B99F7" w:rsidR="00170082" w:rsidRPr="00A84647" w:rsidRDefault="00170082" w:rsidP="005F071A">
            <w:pPr>
              <w:spacing w:after="0"/>
              <w:jc w:val="center"/>
              <w:rPr>
                <w:rFonts w:cs="Tahoma"/>
                <w:szCs w:val="18"/>
              </w:rPr>
            </w:pPr>
          </w:p>
        </w:tc>
        <w:tc>
          <w:tcPr>
            <w:tcW w:w="567" w:type="dxa"/>
            <w:tcBorders>
              <w:top w:val="nil"/>
              <w:left w:val="nil"/>
              <w:bottom w:val="nil"/>
              <w:right w:val="nil"/>
            </w:tcBorders>
          </w:tcPr>
          <w:p w14:paraId="339F2E71" w14:textId="77777777" w:rsidR="00170082" w:rsidRPr="00A84647" w:rsidRDefault="00170082" w:rsidP="00170082">
            <w:pPr>
              <w:spacing w:after="0"/>
              <w:jc w:val="center"/>
              <w:rPr>
                <w:rFonts w:cs="Tahoma"/>
                <w:szCs w:val="18"/>
              </w:rPr>
            </w:pPr>
          </w:p>
        </w:tc>
        <w:tc>
          <w:tcPr>
            <w:tcW w:w="2330" w:type="dxa"/>
            <w:tcBorders>
              <w:top w:val="nil"/>
              <w:left w:val="nil"/>
              <w:bottom w:val="nil"/>
              <w:right w:val="nil"/>
            </w:tcBorders>
          </w:tcPr>
          <w:p w14:paraId="7CC580E9" w14:textId="77777777" w:rsidR="00170082" w:rsidRPr="00A84647" w:rsidRDefault="00170082" w:rsidP="00170082">
            <w:pPr>
              <w:spacing w:after="0"/>
              <w:jc w:val="center"/>
              <w:rPr>
                <w:rFonts w:cs="Tahoma"/>
                <w:szCs w:val="18"/>
              </w:rPr>
            </w:pPr>
          </w:p>
        </w:tc>
        <w:tc>
          <w:tcPr>
            <w:tcW w:w="567" w:type="dxa"/>
            <w:tcBorders>
              <w:top w:val="nil"/>
              <w:left w:val="nil"/>
              <w:bottom w:val="nil"/>
              <w:right w:val="nil"/>
            </w:tcBorders>
          </w:tcPr>
          <w:p w14:paraId="3FEF5F02" w14:textId="77777777" w:rsidR="00170082" w:rsidRPr="00A84647" w:rsidRDefault="00170082" w:rsidP="00170082">
            <w:pPr>
              <w:spacing w:after="0"/>
              <w:jc w:val="center"/>
              <w:rPr>
                <w:rFonts w:cs="Tahoma"/>
                <w:szCs w:val="18"/>
              </w:rPr>
            </w:pPr>
          </w:p>
        </w:tc>
        <w:tc>
          <w:tcPr>
            <w:tcW w:w="2330" w:type="dxa"/>
            <w:tcBorders>
              <w:top w:val="single" w:sz="4" w:space="0" w:color="auto"/>
              <w:left w:val="nil"/>
              <w:bottom w:val="nil"/>
              <w:right w:val="nil"/>
            </w:tcBorders>
          </w:tcPr>
          <w:p w14:paraId="5D1CAD03" w14:textId="60F52C0E" w:rsidR="00170082" w:rsidRPr="00A84647" w:rsidRDefault="00170082" w:rsidP="005F071A">
            <w:pPr>
              <w:spacing w:after="0"/>
              <w:jc w:val="center"/>
              <w:rPr>
                <w:rFonts w:cs="Tahoma"/>
                <w:szCs w:val="18"/>
              </w:rPr>
            </w:pPr>
          </w:p>
        </w:tc>
      </w:tr>
      <w:tr w:rsidR="00170082" w:rsidRPr="00A84647" w14:paraId="53EEE7C3" w14:textId="77777777" w:rsidTr="002B726B">
        <w:tc>
          <w:tcPr>
            <w:tcW w:w="2694" w:type="dxa"/>
            <w:tcBorders>
              <w:top w:val="nil"/>
              <w:left w:val="nil"/>
              <w:bottom w:val="nil"/>
              <w:right w:val="nil"/>
            </w:tcBorders>
            <w:shd w:val="clear" w:color="auto" w:fill="auto"/>
          </w:tcPr>
          <w:p w14:paraId="435BC3B1" w14:textId="58FE7BC9" w:rsidR="00170082" w:rsidRPr="00A84647" w:rsidRDefault="00170082" w:rsidP="005F071A">
            <w:pPr>
              <w:spacing w:after="0"/>
              <w:jc w:val="center"/>
              <w:rPr>
                <w:rFonts w:cs="Tahoma"/>
                <w:szCs w:val="18"/>
              </w:rPr>
            </w:pPr>
          </w:p>
        </w:tc>
        <w:tc>
          <w:tcPr>
            <w:tcW w:w="567" w:type="dxa"/>
            <w:tcBorders>
              <w:top w:val="nil"/>
              <w:left w:val="nil"/>
              <w:bottom w:val="nil"/>
              <w:right w:val="nil"/>
            </w:tcBorders>
          </w:tcPr>
          <w:p w14:paraId="326F3CC3" w14:textId="77777777" w:rsidR="00170082" w:rsidRPr="00A84647" w:rsidRDefault="00170082" w:rsidP="00170082">
            <w:pPr>
              <w:spacing w:after="0"/>
              <w:jc w:val="center"/>
              <w:rPr>
                <w:rFonts w:cs="Tahoma"/>
                <w:szCs w:val="18"/>
              </w:rPr>
            </w:pPr>
          </w:p>
        </w:tc>
        <w:tc>
          <w:tcPr>
            <w:tcW w:w="2330" w:type="dxa"/>
            <w:tcBorders>
              <w:top w:val="nil"/>
              <w:left w:val="nil"/>
              <w:bottom w:val="nil"/>
              <w:right w:val="nil"/>
            </w:tcBorders>
          </w:tcPr>
          <w:p w14:paraId="707AC80C" w14:textId="77777777" w:rsidR="00170082" w:rsidRPr="00A84647" w:rsidRDefault="00170082" w:rsidP="00170082">
            <w:pPr>
              <w:spacing w:after="0"/>
              <w:jc w:val="center"/>
              <w:rPr>
                <w:rFonts w:cs="Tahoma"/>
                <w:szCs w:val="18"/>
              </w:rPr>
            </w:pPr>
          </w:p>
        </w:tc>
        <w:tc>
          <w:tcPr>
            <w:tcW w:w="567" w:type="dxa"/>
            <w:tcBorders>
              <w:top w:val="nil"/>
              <w:left w:val="nil"/>
              <w:bottom w:val="nil"/>
              <w:right w:val="nil"/>
            </w:tcBorders>
          </w:tcPr>
          <w:p w14:paraId="315971F1" w14:textId="77777777" w:rsidR="00170082" w:rsidRPr="00A84647" w:rsidRDefault="00170082" w:rsidP="00170082">
            <w:pPr>
              <w:spacing w:after="0"/>
              <w:jc w:val="center"/>
              <w:rPr>
                <w:rFonts w:cs="Tahoma"/>
                <w:szCs w:val="18"/>
              </w:rPr>
            </w:pPr>
          </w:p>
        </w:tc>
        <w:tc>
          <w:tcPr>
            <w:tcW w:w="2330" w:type="dxa"/>
            <w:tcBorders>
              <w:top w:val="nil"/>
              <w:left w:val="nil"/>
              <w:bottom w:val="nil"/>
              <w:right w:val="nil"/>
            </w:tcBorders>
          </w:tcPr>
          <w:p w14:paraId="4F74EE83" w14:textId="38A81165" w:rsidR="00170082" w:rsidRPr="00A84647" w:rsidRDefault="00170082" w:rsidP="0086268F">
            <w:pPr>
              <w:spacing w:after="0"/>
              <w:jc w:val="center"/>
              <w:rPr>
                <w:rFonts w:cs="Tahoma"/>
                <w:szCs w:val="18"/>
              </w:rPr>
            </w:pPr>
          </w:p>
        </w:tc>
      </w:tr>
      <w:tr w:rsidR="00170082" w:rsidRPr="00A84647" w14:paraId="13032811" w14:textId="77777777" w:rsidTr="002B726B">
        <w:trPr>
          <w:gridAfter w:val="3"/>
          <w:wAfter w:w="5227" w:type="dxa"/>
        </w:trPr>
        <w:tc>
          <w:tcPr>
            <w:tcW w:w="2694" w:type="dxa"/>
            <w:tcBorders>
              <w:top w:val="nil"/>
              <w:left w:val="nil"/>
              <w:bottom w:val="nil"/>
              <w:right w:val="nil"/>
            </w:tcBorders>
            <w:shd w:val="clear" w:color="auto" w:fill="auto"/>
          </w:tcPr>
          <w:p w14:paraId="273E24E7" w14:textId="35DFACCE" w:rsidR="006D74D6" w:rsidRPr="00EB5651" w:rsidRDefault="006D74D6" w:rsidP="00EB5651">
            <w:pPr>
              <w:pStyle w:val="Virsraksts1"/>
              <w:spacing w:after="360"/>
              <w:rPr>
                <w:rFonts w:ascii="Tahoma" w:hAnsi="Tahoma" w:cs="Tahoma"/>
                <w:color w:val="575756"/>
                <w:sz w:val="18"/>
                <w:szCs w:val="18"/>
              </w:rPr>
            </w:pPr>
          </w:p>
        </w:tc>
        <w:tc>
          <w:tcPr>
            <w:tcW w:w="567" w:type="dxa"/>
            <w:tcBorders>
              <w:top w:val="nil"/>
              <w:left w:val="nil"/>
              <w:bottom w:val="nil"/>
              <w:right w:val="nil"/>
            </w:tcBorders>
          </w:tcPr>
          <w:p w14:paraId="161A88EA" w14:textId="77777777" w:rsidR="00170082" w:rsidRPr="00A84647" w:rsidRDefault="00170082" w:rsidP="00170082">
            <w:pPr>
              <w:spacing w:after="0"/>
              <w:jc w:val="center"/>
              <w:rPr>
                <w:rFonts w:cs="Tahoma"/>
                <w:szCs w:val="18"/>
              </w:rPr>
            </w:pPr>
          </w:p>
        </w:tc>
      </w:tr>
    </w:tbl>
    <w:bookmarkStart w:id="168" w:name="_MON_1542090457"/>
    <w:bookmarkEnd w:id="168"/>
    <w:p w14:paraId="7B24CA58" w14:textId="4010EC5E" w:rsidR="00421CEF" w:rsidRDefault="008431E9" w:rsidP="00CB0DDB">
      <w:pPr>
        <w:spacing w:before="120"/>
        <w:jc w:val="both"/>
        <w:rPr>
          <w:rFonts w:cs="Tahoma"/>
          <w:color w:val="FF0000"/>
          <w:sz w:val="16"/>
          <w:szCs w:val="16"/>
          <w:lang w:eastAsia="en-US"/>
        </w:rPr>
      </w:pPr>
      <w:r w:rsidRPr="006E37A8">
        <w:rPr>
          <w:rFonts w:ascii="Arial Narrow" w:hAnsi="Arial Narrow"/>
          <w:szCs w:val="18"/>
        </w:rPr>
        <w:object w:dxaOrig="10281" w:dyaOrig="6362" w14:anchorId="46F26232">
          <v:shape id="_x0000_i1026" type="#_x0000_t75" style="width:456.75pt;height:287.25pt" o:ole="" fillcolor="window">
            <v:imagedata r:id="rId11" o:title=""/>
          </v:shape>
          <o:OLEObject Type="Embed" ProgID="Excel.Sheet.8" ShapeID="_x0000_i1026" DrawAspect="Content" ObjectID="_1735982585" r:id="rId12"/>
        </w:object>
      </w:r>
    </w:p>
    <w:p w14:paraId="4D739EAF" w14:textId="77777777" w:rsidR="00421CEF" w:rsidRDefault="00421CEF" w:rsidP="00CB0DDB">
      <w:pPr>
        <w:spacing w:before="120"/>
        <w:jc w:val="both"/>
        <w:rPr>
          <w:rFonts w:cs="Tahoma"/>
          <w:color w:val="FF0000"/>
          <w:sz w:val="16"/>
          <w:szCs w:val="16"/>
          <w:lang w:eastAsia="en-US"/>
        </w:rPr>
      </w:pPr>
    </w:p>
    <w:p w14:paraId="313A9C1B" w14:textId="4DC830DF" w:rsidR="00421CEF" w:rsidRDefault="00421CEF" w:rsidP="00CB0DDB">
      <w:pPr>
        <w:spacing w:before="120"/>
        <w:jc w:val="both"/>
        <w:rPr>
          <w:rFonts w:cs="Tahoma"/>
          <w:szCs w:val="18"/>
          <w:lang w:eastAsia="en-US"/>
        </w:rPr>
      </w:pPr>
    </w:p>
    <w:p w14:paraId="10E2558E" w14:textId="55F8D94A" w:rsidR="00126389" w:rsidRDefault="00126389" w:rsidP="00CB0DDB">
      <w:pPr>
        <w:spacing w:before="120"/>
        <w:jc w:val="both"/>
        <w:rPr>
          <w:rFonts w:cs="Tahoma"/>
          <w:szCs w:val="18"/>
          <w:lang w:eastAsia="en-US"/>
        </w:rPr>
      </w:pPr>
    </w:p>
    <w:p w14:paraId="46B4C845" w14:textId="2073D77C" w:rsidR="00126389" w:rsidRDefault="00126389" w:rsidP="00CB0DDB">
      <w:pPr>
        <w:spacing w:before="120"/>
        <w:jc w:val="both"/>
        <w:rPr>
          <w:rFonts w:cs="Tahoma"/>
          <w:szCs w:val="18"/>
          <w:lang w:eastAsia="en-US"/>
        </w:rPr>
      </w:pPr>
    </w:p>
    <w:p w14:paraId="171E706A" w14:textId="77777777" w:rsidR="00126389" w:rsidRDefault="00126389" w:rsidP="00CB0DDB">
      <w:pPr>
        <w:spacing w:before="120"/>
        <w:jc w:val="both"/>
        <w:rPr>
          <w:rFonts w:cs="Tahoma"/>
          <w:szCs w:val="18"/>
          <w:lang w:eastAsia="en-US"/>
        </w:rPr>
      </w:pPr>
    </w:p>
    <w:p w14:paraId="69CE2612" w14:textId="77777777" w:rsidR="00416786" w:rsidRPr="00AC793F" w:rsidRDefault="00416786" w:rsidP="00CB0DDB">
      <w:pPr>
        <w:spacing w:before="120"/>
        <w:jc w:val="both"/>
        <w:rPr>
          <w:rFonts w:cs="Tahoma"/>
          <w:szCs w:val="18"/>
          <w:lang w:eastAsia="en-US"/>
        </w:rPr>
      </w:pPr>
    </w:p>
    <w:p w14:paraId="3E91EBDA" w14:textId="77777777" w:rsidR="0095774D" w:rsidRPr="00AD0D7D" w:rsidRDefault="0095774D" w:rsidP="00CD5DDB">
      <w:pPr>
        <w:rPr>
          <w:rFonts w:cs="Tahoma"/>
          <w:szCs w:val="18"/>
        </w:rPr>
      </w:pPr>
    </w:p>
    <w:tbl>
      <w:tblPr>
        <w:tblW w:w="8122" w:type="dxa"/>
        <w:tblLook w:val="04A0" w:firstRow="1" w:lastRow="0" w:firstColumn="1" w:lastColumn="0" w:noHBand="0" w:noVBand="1"/>
      </w:tblPr>
      <w:tblGrid>
        <w:gridCol w:w="2328"/>
        <w:gridCol w:w="567"/>
        <w:gridCol w:w="2330"/>
        <w:gridCol w:w="567"/>
        <w:gridCol w:w="2330"/>
      </w:tblGrid>
      <w:tr w:rsidR="008F0C63" w:rsidRPr="00A84647" w14:paraId="0B00AFCE" w14:textId="77777777" w:rsidTr="002B1337">
        <w:tc>
          <w:tcPr>
            <w:tcW w:w="2328" w:type="dxa"/>
            <w:shd w:val="clear" w:color="auto" w:fill="auto"/>
          </w:tcPr>
          <w:p w14:paraId="7F11EE25" w14:textId="77777777" w:rsidR="008F0C63" w:rsidRPr="00A84647" w:rsidRDefault="008F0C63" w:rsidP="00474032">
            <w:pPr>
              <w:spacing w:after="0"/>
              <w:jc w:val="center"/>
              <w:rPr>
                <w:rFonts w:cs="Tahoma"/>
                <w:szCs w:val="18"/>
              </w:rPr>
            </w:pPr>
          </w:p>
        </w:tc>
        <w:tc>
          <w:tcPr>
            <w:tcW w:w="567" w:type="dxa"/>
          </w:tcPr>
          <w:p w14:paraId="6DEA0D7B" w14:textId="77777777" w:rsidR="008F0C63" w:rsidRPr="00A84647" w:rsidRDefault="008F0C63" w:rsidP="00474032">
            <w:pPr>
              <w:spacing w:after="0"/>
              <w:jc w:val="center"/>
              <w:rPr>
                <w:rFonts w:cs="Tahoma"/>
                <w:szCs w:val="18"/>
              </w:rPr>
            </w:pPr>
          </w:p>
        </w:tc>
        <w:tc>
          <w:tcPr>
            <w:tcW w:w="2330" w:type="dxa"/>
          </w:tcPr>
          <w:p w14:paraId="47141441" w14:textId="77777777" w:rsidR="008F0C63" w:rsidRPr="00A84647" w:rsidRDefault="008F0C63" w:rsidP="00474032">
            <w:pPr>
              <w:spacing w:after="0"/>
              <w:jc w:val="center"/>
              <w:rPr>
                <w:rFonts w:cs="Tahoma"/>
                <w:szCs w:val="18"/>
              </w:rPr>
            </w:pPr>
          </w:p>
        </w:tc>
        <w:tc>
          <w:tcPr>
            <w:tcW w:w="567" w:type="dxa"/>
          </w:tcPr>
          <w:p w14:paraId="6859E318" w14:textId="77777777" w:rsidR="008F0C63" w:rsidRPr="00A84647" w:rsidRDefault="008F0C63" w:rsidP="00474032">
            <w:pPr>
              <w:spacing w:after="0"/>
              <w:jc w:val="center"/>
              <w:rPr>
                <w:rFonts w:cs="Tahoma"/>
                <w:szCs w:val="18"/>
              </w:rPr>
            </w:pPr>
          </w:p>
        </w:tc>
        <w:tc>
          <w:tcPr>
            <w:tcW w:w="2330" w:type="dxa"/>
          </w:tcPr>
          <w:p w14:paraId="5B69F59F" w14:textId="77777777" w:rsidR="008F0C63" w:rsidRPr="00A84647" w:rsidRDefault="008F0C63" w:rsidP="00474032">
            <w:pPr>
              <w:spacing w:after="0"/>
              <w:jc w:val="center"/>
              <w:rPr>
                <w:rFonts w:cs="Tahoma"/>
                <w:szCs w:val="18"/>
              </w:rPr>
            </w:pPr>
          </w:p>
        </w:tc>
      </w:tr>
    </w:tbl>
    <w:p w14:paraId="3D9FCB8B" w14:textId="22B01048" w:rsidR="00AC3C05" w:rsidRPr="00A84647" w:rsidRDefault="00774A4A" w:rsidP="00D3611F">
      <w:pPr>
        <w:spacing w:before="120" w:after="120"/>
        <w:rPr>
          <w:rFonts w:cs="Tahoma"/>
          <w:color w:val="575756"/>
          <w:szCs w:val="18"/>
        </w:rPr>
      </w:pPr>
      <w:r w:rsidRPr="00A84647">
        <w:rPr>
          <w:rFonts w:cs="Tahoma"/>
          <w:szCs w:val="18"/>
        </w:rPr>
        <w:br w:type="page"/>
      </w:r>
      <w:bookmarkStart w:id="169" w:name="_Toc473130134"/>
      <w:r w:rsidR="00590EE4" w:rsidRPr="000F5950">
        <w:rPr>
          <w:rFonts w:cs="Tahoma"/>
          <w:b/>
          <w:color w:val="575756"/>
          <w:szCs w:val="18"/>
        </w:rPr>
        <w:lastRenderedPageBreak/>
        <w:t>Peļņas vai zaudējumu aprēķins</w:t>
      </w:r>
      <w:bookmarkEnd w:id="169"/>
    </w:p>
    <w:p w14:paraId="36507AF9" w14:textId="77777777" w:rsidR="00590EE4" w:rsidRDefault="00590EE4" w:rsidP="00590EE4">
      <w:pPr>
        <w:rPr>
          <w:rFonts w:cs="Tahoma"/>
          <w:szCs w:val="18"/>
        </w:rPr>
      </w:pPr>
      <w:r w:rsidRPr="00A84647">
        <w:rPr>
          <w:rFonts w:cs="Tahoma"/>
          <w:szCs w:val="18"/>
        </w:rPr>
        <w:t>(pēc izdevumu funkcijas)</w:t>
      </w:r>
    </w:p>
    <w:p w14:paraId="488A7660" w14:textId="77777777" w:rsidR="002521D2" w:rsidRDefault="002521D2" w:rsidP="00590EE4">
      <w:pPr>
        <w:rPr>
          <w:rFonts w:cs="Tahoma"/>
          <w:szCs w:val="18"/>
        </w:rPr>
      </w:pPr>
    </w:p>
    <w:bookmarkStart w:id="170" w:name="_MON_1517119909"/>
    <w:bookmarkEnd w:id="170"/>
    <w:p w14:paraId="02EC2B81" w14:textId="2DED36BE" w:rsidR="002521D2" w:rsidRPr="0079073F" w:rsidRDefault="006A2296" w:rsidP="002521D2">
      <w:pPr>
        <w:pStyle w:val="Pamatteksts2"/>
        <w:rPr>
          <w:rFonts w:ascii="Tahoma" w:hAnsi="Tahoma" w:cs="Tahoma"/>
          <w:szCs w:val="18"/>
        </w:rPr>
      </w:pPr>
      <w:r w:rsidRPr="001C4EBD">
        <w:rPr>
          <w:rFonts w:ascii="Tahoma" w:hAnsi="Tahoma" w:cs="Tahoma"/>
          <w:sz w:val="24"/>
        </w:rPr>
        <w:object w:dxaOrig="9615" w:dyaOrig="6674" w14:anchorId="2B994023">
          <v:shape id="_x0000_i1027" type="#_x0000_t75" style="width:468pt;height:350.25pt" o:ole="" fillcolor="window">
            <v:imagedata r:id="rId13" o:title=""/>
          </v:shape>
          <o:OLEObject Type="Embed" ProgID="Excel.Sheet.8" ShapeID="_x0000_i1027" DrawAspect="Content" ObjectID="_1735982586" r:id="rId14"/>
        </w:object>
      </w:r>
    </w:p>
    <w:p w14:paraId="394D932F" w14:textId="77777777" w:rsidR="002521D2" w:rsidRDefault="002521D2" w:rsidP="00590EE4">
      <w:pPr>
        <w:rPr>
          <w:rFonts w:cs="Tahoma"/>
          <w:szCs w:val="18"/>
        </w:rPr>
      </w:pPr>
    </w:p>
    <w:p w14:paraId="70144911" w14:textId="77777777" w:rsidR="002521D2" w:rsidRDefault="002521D2" w:rsidP="00590EE4">
      <w:pPr>
        <w:rPr>
          <w:rFonts w:cs="Tahoma"/>
          <w:szCs w:val="18"/>
        </w:rPr>
      </w:pPr>
    </w:p>
    <w:p w14:paraId="5543FD99" w14:textId="77777777" w:rsidR="00D3611F" w:rsidRDefault="00D3611F" w:rsidP="00590EE4">
      <w:pPr>
        <w:rPr>
          <w:rFonts w:cs="Tahoma"/>
          <w:szCs w:val="18"/>
        </w:rPr>
      </w:pPr>
    </w:p>
    <w:p w14:paraId="2CDF7BC5" w14:textId="77777777" w:rsidR="002521D2" w:rsidRPr="00A84647" w:rsidRDefault="002521D2" w:rsidP="00590EE4">
      <w:pPr>
        <w:rPr>
          <w:rFonts w:cs="Tahoma"/>
          <w:szCs w:val="18"/>
        </w:rPr>
      </w:pPr>
    </w:p>
    <w:p w14:paraId="149C0EDC" w14:textId="77777777" w:rsidR="009C705E" w:rsidRPr="00A84647" w:rsidRDefault="00340CD8" w:rsidP="009C705E">
      <w:pPr>
        <w:pStyle w:val="Pamatteksts2"/>
        <w:rPr>
          <w:rFonts w:ascii="Tahoma" w:hAnsi="Tahoma" w:cs="Tahoma"/>
          <w:szCs w:val="18"/>
        </w:rPr>
      </w:pPr>
      <w:r>
        <w:rPr>
          <w:rFonts w:ascii="Tahoma" w:hAnsi="Tahoma" w:cs="Tahoma"/>
          <w:szCs w:val="18"/>
        </w:rPr>
        <w:t xml:space="preserve">                       </w:t>
      </w:r>
    </w:p>
    <w:p w14:paraId="183D1FE0" w14:textId="17331AE8" w:rsidR="009C705E" w:rsidRDefault="009C705E" w:rsidP="009C705E">
      <w:pPr>
        <w:spacing w:before="120" w:after="120"/>
        <w:jc w:val="both"/>
        <w:rPr>
          <w:rFonts w:cs="Tahoma"/>
          <w:szCs w:val="18"/>
        </w:rPr>
      </w:pPr>
    </w:p>
    <w:p w14:paraId="1E9BED35" w14:textId="77777777" w:rsidR="00C133B4" w:rsidRPr="00A84647" w:rsidRDefault="00C133B4" w:rsidP="009C705E">
      <w:pPr>
        <w:spacing w:before="120" w:after="120"/>
        <w:jc w:val="both"/>
        <w:rPr>
          <w:rFonts w:cs="Tahoma"/>
          <w:szCs w:val="18"/>
        </w:rPr>
      </w:pPr>
    </w:p>
    <w:p w14:paraId="7BFCA4D8" w14:textId="77777777" w:rsidR="009C705E" w:rsidRPr="00A84647" w:rsidRDefault="009C705E" w:rsidP="009C705E">
      <w:pPr>
        <w:spacing w:before="120" w:after="120"/>
        <w:jc w:val="both"/>
        <w:rPr>
          <w:rFonts w:cs="Tahoma"/>
          <w:szCs w:val="18"/>
        </w:rPr>
      </w:pPr>
    </w:p>
    <w:tbl>
      <w:tblPr>
        <w:tblW w:w="8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567"/>
        <w:gridCol w:w="2330"/>
        <w:gridCol w:w="567"/>
        <w:gridCol w:w="2330"/>
      </w:tblGrid>
      <w:tr w:rsidR="00503B8B" w:rsidRPr="00A84647" w14:paraId="591EBFAD" w14:textId="77777777" w:rsidTr="005F071A">
        <w:tc>
          <w:tcPr>
            <w:tcW w:w="2328" w:type="dxa"/>
            <w:tcBorders>
              <w:top w:val="nil"/>
              <w:left w:val="nil"/>
              <w:right w:val="nil"/>
            </w:tcBorders>
            <w:shd w:val="clear" w:color="auto" w:fill="auto"/>
          </w:tcPr>
          <w:p w14:paraId="264CF5D2" w14:textId="77777777" w:rsidR="00503B8B" w:rsidRPr="00A84647" w:rsidRDefault="00503B8B" w:rsidP="00474032">
            <w:pPr>
              <w:spacing w:after="0"/>
              <w:jc w:val="center"/>
              <w:rPr>
                <w:rFonts w:cs="Tahoma"/>
                <w:szCs w:val="18"/>
              </w:rPr>
            </w:pPr>
          </w:p>
        </w:tc>
        <w:tc>
          <w:tcPr>
            <w:tcW w:w="567" w:type="dxa"/>
            <w:tcBorders>
              <w:top w:val="nil"/>
              <w:left w:val="nil"/>
              <w:bottom w:val="nil"/>
              <w:right w:val="nil"/>
            </w:tcBorders>
          </w:tcPr>
          <w:p w14:paraId="717F3CCC" w14:textId="77777777" w:rsidR="00503B8B" w:rsidRPr="00A84647" w:rsidRDefault="00503B8B" w:rsidP="00474032">
            <w:pPr>
              <w:spacing w:after="0"/>
              <w:jc w:val="center"/>
              <w:rPr>
                <w:rFonts w:cs="Tahoma"/>
                <w:szCs w:val="18"/>
              </w:rPr>
            </w:pPr>
          </w:p>
        </w:tc>
        <w:tc>
          <w:tcPr>
            <w:tcW w:w="2330" w:type="dxa"/>
            <w:tcBorders>
              <w:top w:val="nil"/>
              <w:left w:val="nil"/>
              <w:bottom w:val="nil"/>
              <w:right w:val="nil"/>
            </w:tcBorders>
          </w:tcPr>
          <w:p w14:paraId="394C5133" w14:textId="77777777" w:rsidR="00503B8B" w:rsidRPr="00A84647" w:rsidRDefault="00503B8B" w:rsidP="00474032">
            <w:pPr>
              <w:spacing w:after="0"/>
              <w:jc w:val="center"/>
              <w:rPr>
                <w:rFonts w:cs="Tahoma"/>
                <w:szCs w:val="18"/>
              </w:rPr>
            </w:pPr>
          </w:p>
        </w:tc>
        <w:tc>
          <w:tcPr>
            <w:tcW w:w="567" w:type="dxa"/>
            <w:tcBorders>
              <w:top w:val="nil"/>
              <w:left w:val="nil"/>
              <w:bottom w:val="nil"/>
              <w:right w:val="nil"/>
            </w:tcBorders>
          </w:tcPr>
          <w:p w14:paraId="3FD3EB5E" w14:textId="77777777" w:rsidR="00503B8B" w:rsidRPr="00A84647" w:rsidRDefault="00503B8B" w:rsidP="00474032">
            <w:pPr>
              <w:spacing w:after="0"/>
              <w:jc w:val="center"/>
              <w:rPr>
                <w:rFonts w:cs="Tahoma"/>
                <w:szCs w:val="18"/>
              </w:rPr>
            </w:pPr>
          </w:p>
        </w:tc>
        <w:tc>
          <w:tcPr>
            <w:tcW w:w="2330" w:type="dxa"/>
            <w:tcBorders>
              <w:top w:val="nil"/>
              <w:left w:val="nil"/>
              <w:bottom w:val="single" w:sz="4" w:space="0" w:color="auto"/>
              <w:right w:val="nil"/>
            </w:tcBorders>
          </w:tcPr>
          <w:p w14:paraId="3FF946D2" w14:textId="77777777" w:rsidR="00503B8B" w:rsidRPr="00A84647" w:rsidRDefault="00503B8B" w:rsidP="00474032">
            <w:pPr>
              <w:spacing w:after="0"/>
              <w:jc w:val="center"/>
              <w:rPr>
                <w:rFonts w:cs="Tahoma"/>
                <w:szCs w:val="18"/>
              </w:rPr>
            </w:pPr>
          </w:p>
        </w:tc>
      </w:tr>
      <w:tr w:rsidR="00503B8B" w:rsidRPr="00A84647" w14:paraId="7326CE31" w14:textId="77777777" w:rsidTr="005F071A">
        <w:tc>
          <w:tcPr>
            <w:tcW w:w="2328" w:type="dxa"/>
            <w:tcBorders>
              <w:left w:val="nil"/>
              <w:bottom w:val="nil"/>
              <w:right w:val="nil"/>
            </w:tcBorders>
            <w:shd w:val="clear" w:color="auto" w:fill="auto"/>
          </w:tcPr>
          <w:p w14:paraId="0BAC4471" w14:textId="799E6501" w:rsidR="00503B8B" w:rsidRPr="00A84647" w:rsidRDefault="00503B8B" w:rsidP="005F071A">
            <w:pPr>
              <w:spacing w:after="0"/>
              <w:jc w:val="center"/>
              <w:rPr>
                <w:rFonts w:cs="Tahoma"/>
                <w:szCs w:val="18"/>
              </w:rPr>
            </w:pPr>
          </w:p>
        </w:tc>
        <w:tc>
          <w:tcPr>
            <w:tcW w:w="567" w:type="dxa"/>
            <w:tcBorders>
              <w:top w:val="nil"/>
              <w:left w:val="nil"/>
              <w:bottom w:val="nil"/>
              <w:right w:val="nil"/>
            </w:tcBorders>
          </w:tcPr>
          <w:p w14:paraId="6ACA4870" w14:textId="77777777" w:rsidR="00503B8B" w:rsidRPr="00A84647" w:rsidRDefault="00503B8B" w:rsidP="00474032">
            <w:pPr>
              <w:spacing w:after="0"/>
              <w:jc w:val="center"/>
              <w:rPr>
                <w:rFonts w:cs="Tahoma"/>
                <w:szCs w:val="18"/>
              </w:rPr>
            </w:pPr>
          </w:p>
        </w:tc>
        <w:tc>
          <w:tcPr>
            <w:tcW w:w="2330" w:type="dxa"/>
            <w:tcBorders>
              <w:top w:val="nil"/>
              <w:left w:val="nil"/>
              <w:bottom w:val="nil"/>
              <w:right w:val="nil"/>
            </w:tcBorders>
          </w:tcPr>
          <w:p w14:paraId="6D49E307" w14:textId="77777777" w:rsidR="00503B8B" w:rsidRPr="00A84647" w:rsidRDefault="00503B8B" w:rsidP="00474032">
            <w:pPr>
              <w:spacing w:after="0"/>
              <w:jc w:val="center"/>
              <w:rPr>
                <w:rFonts w:cs="Tahoma"/>
                <w:szCs w:val="18"/>
              </w:rPr>
            </w:pPr>
          </w:p>
        </w:tc>
        <w:tc>
          <w:tcPr>
            <w:tcW w:w="567" w:type="dxa"/>
            <w:tcBorders>
              <w:top w:val="nil"/>
              <w:left w:val="nil"/>
              <w:bottom w:val="nil"/>
              <w:right w:val="nil"/>
            </w:tcBorders>
          </w:tcPr>
          <w:p w14:paraId="46976493" w14:textId="77777777" w:rsidR="00503B8B" w:rsidRPr="00A84647" w:rsidRDefault="00503B8B" w:rsidP="00474032">
            <w:pPr>
              <w:spacing w:after="0"/>
              <w:jc w:val="center"/>
              <w:rPr>
                <w:rFonts w:cs="Tahoma"/>
                <w:szCs w:val="18"/>
              </w:rPr>
            </w:pPr>
          </w:p>
        </w:tc>
        <w:tc>
          <w:tcPr>
            <w:tcW w:w="2330" w:type="dxa"/>
            <w:tcBorders>
              <w:top w:val="single" w:sz="4" w:space="0" w:color="auto"/>
              <w:left w:val="nil"/>
              <w:bottom w:val="nil"/>
              <w:right w:val="nil"/>
            </w:tcBorders>
          </w:tcPr>
          <w:p w14:paraId="38FA3DEF" w14:textId="29006415" w:rsidR="00503B8B" w:rsidRPr="00A84647" w:rsidRDefault="00503B8B" w:rsidP="005F071A">
            <w:pPr>
              <w:spacing w:after="0"/>
              <w:jc w:val="center"/>
              <w:rPr>
                <w:rFonts w:cs="Tahoma"/>
                <w:szCs w:val="18"/>
              </w:rPr>
            </w:pPr>
          </w:p>
        </w:tc>
      </w:tr>
      <w:tr w:rsidR="00503B8B" w:rsidRPr="00A84647" w14:paraId="539FDFF1" w14:textId="77777777" w:rsidTr="00474032">
        <w:tc>
          <w:tcPr>
            <w:tcW w:w="2328" w:type="dxa"/>
            <w:tcBorders>
              <w:top w:val="nil"/>
              <w:left w:val="nil"/>
              <w:bottom w:val="nil"/>
              <w:right w:val="nil"/>
            </w:tcBorders>
            <w:shd w:val="clear" w:color="auto" w:fill="auto"/>
          </w:tcPr>
          <w:p w14:paraId="32C11BDF" w14:textId="4C95C702" w:rsidR="00503B8B" w:rsidRPr="00A84647" w:rsidRDefault="00503B8B" w:rsidP="005F071A">
            <w:pPr>
              <w:spacing w:after="0"/>
              <w:jc w:val="center"/>
              <w:rPr>
                <w:rFonts w:cs="Tahoma"/>
                <w:szCs w:val="18"/>
              </w:rPr>
            </w:pPr>
          </w:p>
        </w:tc>
        <w:tc>
          <w:tcPr>
            <w:tcW w:w="567" w:type="dxa"/>
            <w:tcBorders>
              <w:top w:val="nil"/>
              <w:left w:val="nil"/>
              <w:bottom w:val="nil"/>
              <w:right w:val="nil"/>
            </w:tcBorders>
          </w:tcPr>
          <w:p w14:paraId="35570D68" w14:textId="77777777" w:rsidR="00503B8B" w:rsidRPr="00A84647" w:rsidRDefault="00503B8B" w:rsidP="00474032">
            <w:pPr>
              <w:spacing w:after="0"/>
              <w:jc w:val="center"/>
              <w:rPr>
                <w:rFonts w:cs="Tahoma"/>
                <w:szCs w:val="18"/>
              </w:rPr>
            </w:pPr>
          </w:p>
        </w:tc>
        <w:tc>
          <w:tcPr>
            <w:tcW w:w="2330" w:type="dxa"/>
            <w:tcBorders>
              <w:top w:val="nil"/>
              <w:left w:val="nil"/>
              <w:bottom w:val="nil"/>
              <w:right w:val="nil"/>
            </w:tcBorders>
          </w:tcPr>
          <w:p w14:paraId="67AA2EFD" w14:textId="77777777" w:rsidR="00503B8B" w:rsidRPr="00A84647" w:rsidRDefault="00503B8B" w:rsidP="00474032">
            <w:pPr>
              <w:spacing w:after="0"/>
              <w:jc w:val="center"/>
              <w:rPr>
                <w:rFonts w:cs="Tahoma"/>
                <w:szCs w:val="18"/>
              </w:rPr>
            </w:pPr>
          </w:p>
        </w:tc>
        <w:tc>
          <w:tcPr>
            <w:tcW w:w="567" w:type="dxa"/>
            <w:tcBorders>
              <w:top w:val="nil"/>
              <w:left w:val="nil"/>
              <w:bottom w:val="nil"/>
              <w:right w:val="nil"/>
            </w:tcBorders>
          </w:tcPr>
          <w:p w14:paraId="06D98272" w14:textId="77777777" w:rsidR="00503B8B" w:rsidRPr="00A84647" w:rsidRDefault="00503B8B" w:rsidP="00474032">
            <w:pPr>
              <w:spacing w:after="0"/>
              <w:jc w:val="center"/>
              <w:rPr>
                <w:rFonts w:cs="Tahoma"/>
                <w:szCs w:val="18"/>
              </w:rPr>
            </w:pPr>
          </w:p>
        </w:tc>
        <w:tc>
          <w:tcPr>
            <w:tcW w:w="2330" w:type="dxa"/>
            <w:tcBorders>
              <w:top w:val="nil"/>
              <w:left w:val="nil"/>
              <w:bottom w:val="nil"/>
              <w:right w:val="nil"/>
            </w:tcBorders>
          </w:tcPr>
          <w:p w14:paraId="616DFD6B" w14:textId="0F0C30A1" w:rsidR="00503B8B" w:rsidRPr="00A84647" w:rsidRDefault="00503B8B" w:rsidP="00442B26">
            <w:pPr>
              <w:spacing w:after="0"/>
              <w:jc w:val="center"/>
              <w:rPr>
                <w:rFonts w:cs="Tahoma"/>
                <w:szCs w:val="18"/>
              </w:rPr>
            </w:pPr>
          </w:p>
        </w:tc>
      </w:tr>
    </w:tbl>
    <w:p w14:paraId="375EF3DF" w14:textId="77777777" w:rsidR="00AF7F83" w:rsidRDefault="00AF7F83" w:rsidP="009B02E7">
      <w:pPr>
        <w:spacing w:before="120" w:after="120"/>
        <w:jc w:val="both"/>
        <w:rPr>
          <w:rFonts w:cs="Tahoma"/>
          <w:szCs w:val="18"/>
        </w:rPr>
      </w:pPr>
    </w:p>
    <w:p w14:paraId="38F0FCE7" w14:textId="77777777" w:rsidR="000F5950" w:rsidRDefault="000F5950" w:rsidP="0014726B">
      <w:pPr>
        <w:pStyle w:val="Virsraksts1"/>
        <w:spacing w:after="0" w:line="240" w:lineRule="auto"/>
        <w:rPr>
          <w:rFonts w:ascii="Tahoma" w:hAnsi="Tahoma" w:cs="Tahoma"/>
          <w:color w:val="575756"/>
          <w:sz w:val="22"/>
          <w:szCs w:val="22"/>
          <w:lang w:val="en-GB"/>
        </w:rPr>
      </w:pPr>
      <w:bookmarkStart w:id="171" w:name="_Toc468781798"/>
    </w:p>
    <w:p w14:paraId="1022FDEA" w14:textId="77777777" w:rsidR="000F5950" w:rsidRDefault="000F5950" w:rsidP="0014726B">
      <w:pPr>
        <w:pStyle w:val="Virsraksts1"/>
        <w:spacing w:after="0" w:line="240" w:lineRule="auto"/>
        <w:rPr>
          <w:rFonts w:ascii="Tahoma" w:hAnsi="Tahoma" w:cs="Tahoma"/>
          <w:color w:val="575756"/>
          <w:sz w:val="22"/>
          <w:szCs w:val="22"/>
          <w:lang w:val="en-GB"/>
        </w:rPr>
      </w:pPr>
    </w:p>
    <w:p w14:paraId="2973C53D" w14:textId="24CD5E18" w:rsidR="0014726B" w:rsidRDefault="0014726B" w:rsidP="0014726B">
      <w:pPr>
        <w:pStyle w:val="Virsraksts1"/>
        <w:spacing w:after="0" w:line="240" w:lineRule="auto"/>
        <w:rPr>
          <w:rFonts w:ascii="Tahoma" w:hAnsi="Tahoma" w:cs="Tahoma"/>
          <w:color w:val="575756"/>
          <w:sz w:val="22"/>
          <w:szCs w:val="22"/>
          <w:lang w:val="en-GB"/>
        </w:rPr>
      </w:pPr>
      <w:r>
        <w:rPr>
          <w:rFonts w:ascii="Tahoma" w:hAnsi="Tahoma" w:cs="Tahoma"/>
          <w:color w:val="575756"/>
          <w:sz w:val="22"/>
          <w:szCs w:val="22"/>
          <w:lang w:val="en-GB"/>
        </w:rPr>
        <w:t>Naudas plūsmas pārskats</w:t>
      </w:r>
      <w:bookmarkEnd w:id="171"/>
      <w:r w:rsidR="00CF16FD">
        <w:rPr>
          <w:rFonts w:ascii="Tahoma" w:hAnsi="Tahoma" w:cs="Tahoma"/>
          <w:color w:val="575756"/>
          <w:sz w:val="22"/>
          <w:szCs w:val="22"/>
          <w:lang w:val="en-GB"/>
        </w:rPr>
        <w:t xml:space="preserve">  </w:t>
      </w:r>
    </w:p>
    <w:p w14:paraId="596276B9" w14:textId="2668346A" w:rsidR="0014726B" w:rsidRDefault="0014726B" w:rsidP="0014726B">
      <w:pPr>
        <w:rPr>
          <w:rFonts w:cs="Tahoma"/>
          <w:lang w:val="en-GB"/>
        </w:rPr>
      </w:pPr>
      <w:r>
        <w:rPr>
          <w:lang w:val="en-GB"/>
        </w:rPr>
        <w:t>(pēc tiešās metodes)</w:t>
      </w:r>
      <w:bookmarkStart w:id="172" w:name="_Toc34528787"/>
      <w:bookmarkStart w:id="173" w:name="_MON_1028559975"/>
      <w:bookmarkStart w:id="174" w:name="_MON_1028625425"/>
      <w:bookmarkStart w:id="175" w:name="_MON_1028626710"/>
      <w:bookmarkStart w:id="176" w:name="_MON_1028627008"/>
      <w:bookmarkStart w:id="177" w:name="_MON_1028627867"/>
      <w:bookmarkStart w:id="178" w:name="_MON_1046032570"/>
      <w:bookmarkStart w:id="179" w:name="_MON_1046093725"/>
      <w:bookmarkStart w:id="180" w:name="_MON_1047708453"/>
      <w:bookmarkStart w:id="181" w:name="_MON_1047708485"/>
      <w:bookmarkStart w:id="182" w:name="_MON_1071648107"/>
      <w:bookmarkStart w:id="183" w:name="_MON_1093093790"/>
      <w:bookmarkStart w:id="184" w:name="_MON_1093331809"/>
      <w:bookmarkStart w:id="185" w:name="_MON_1093332100"/>
      <w:bookmarkStart w:id="186" w:name="_MON_1099821859"/>
      <w:bookmarkStart w:id="187" w:name="_MON_1107847970"/>
      <w:bookmarkStart w:id="188" w:name="_MON_1108390675"/>
      <w:bookmarkStart w:id="189" w:name="_MON_1108452024"/>
      <w:bookmarkStart w:id="190" w:name="_MON_1168684562"/>
      <w:bookmarkStart w:id="191" w:name="_MON_1168684615"/>
      <w:bookmarkStart w:id="192" w:name="_MON_1168684721"/>
      <w:bookmarkStart w:id="193" w:name="_MON_1168684857"/>
      <w:bookmarkStart w:id="194" w:name="_MON_1175513838"/>
      <w:bookmarkStart w:id="195" w:name="_MON_1175514364"/>
      <w:bookmarkStart w:id="196" w:name="_MON_1183221836"/>
      <w:bookmarkStart w:id="197" w:name="_MON_1183221903"/>
      <w:bookmarkStart w:id="198" w:name="_MON_1183221945"/>
      <w:bookmarkStart w:id="199" w:name="_MON_1183377537"/>
      <w:bookmarkStart w:id="200" w:name="_MON_1183377594"/>
      <w:bookmarkStart w:id="201" w:name="_MON_1183377599"/>
      <w:bookmarkStart w:id="202" w:name="_MON_1183378012"/>
      <w:bookmarkStart w:id="203" w:name="_MON_1183378587"/>
      <w:bookmarkStart w:id="204" w:name="_MON_1183378788"/>
      <w:bookmarkStart w:id="205" w:name="_MON_1183388529"/>
      <w:bookmarkStart w:id="206" w:name="_MON_1188283405"/>
      <w:bookmarkStart w:id="207" w:name="_MON_1191683868"/>
      <w:bookmarkStart w:id="208" w:name="_MON_1193221414"/>
      <w:bookmarkStart w:id="209" w:name="_MON_1193225742"/>
      <w:bookmarkStart w:id="210" w:name="_MON_1194081772"/>
      <w:bookmarkStart w:id="211" w:name="_MON_1194081851"/>
      <w:bookmarkStart w:id="212" w:name="_MON_1195388508"/>
      <w:bookmarkStart w:id="213" w:name="_MON_1196502937"/>
      <w:bookmarkStart w:id="214" w:name="_MON_1196503669"/>
      <w:bookmarkStart w:id="215" w:name="_MON_1196505431"/>
      <w:bookmarkStart w:id="216" w:name="_MON_1196579854"/>
      <w:bookmarkStart w:id="217" w:name="_MON_1196768900"/>
      <w:bookmarkStart w:id="218" w:name="_MON_1196769008"/>
      <w:bookmarkStart w:id="219" w:name="_MON_1197981145"/>
      <w:bookmarkStart w:id="220" w:name="_MON_1197981270"/>
      <w:bookmarkStart w:id="221" w:name="_MON_1202813640"/>
      <w:bookmarkStart w:id="222" w:name="_MON_1220851355"/>
      <w:bookmarkStart w:id="223" w:name="_MON_1222785324"/>
      <w:bookmarkStart w:id="224" w:name="_MON_1235847995"/>
      <w:bookmarkStart w:id="225" w:name="_MON_1236454679"/>
      <w:bookmarkStart w:id="226" w:name="_MON_1236454796"/>
      <w:bookmarkStart w:id="227" w:name="_MON_1236454845"/>
      <w:bookmarkStart w:id="228" w:name="_MON_1236455274"/>
      <w:bookmarkStart w:id="229" w:name="_MON_1236845652"/>
      <w:bookmarkStart w:id="230" w:name="_MON_1237220697"/>
      <w:bookmarkStart w:id="231" w:name="_MON_1237725514"/>
      <w:bookmarkStart w:id="232" w:name="_MON_1237887853"/>
      <w:bookmarkStart w:id="233" w:name="_MON_1237888517"/>
      <w:bookmarkStart w:id="234" w:name="_MON_1238134516"/>
      <w:bookmarkStart w:id="235" w:name="_MON_1238162889"/>
      <w:bookmarkStart w:id="236" w:name="_MON_1238163135"/>
      <w:bookmarkStart w:id="237" w:name="_MON_1238163197"/>
      <w:bookmarkStart w:id="238" w:name="_MON_1238163368"/>
      <w:bookmarkStart w:id="239" w:name="_MON_1238163417"/>
      <w:bookmarkStart w:id="240" w:name="_MON_1238163487"/>
      <w:bookmarkStart w:id="241" w:name="_MON_1238269195"/>
      <w:bookmarkStart w:id="242" w:name="_MON_1238314442"/>
      <w:bookmarkStart w:id="243" w:name="_MON_1238314653"/>
      <w:bookmarkStart w:id="244" w:name="_MON_1238314858"/>
      <w:bookmarkStart w:id="245" w:name="_MON_1238315288"/>
      <w:bookmarkStart w:id="246" w:name="_MON_1238433252"/>
      <w:bookmarkStart w:id="247" w:name="_MON_1238433520"/>
      <w:bookmarkStart w:id="248" w:name="_MON_1238696176"/>
      <w:bookmarkStart w:id="249" w:name="_MON_1257174439"/>
      <w:bookmarkStart w:id="250" w:name="_MON_1257174594"/>
      <w:bookmarkStart w:id="251" w:name="_MON_1257179252"/>
      <w:bookmarkStart w:id="252" w:name="_MON_1257516073"/>
      <w:bookmarkStart w:id="253" w:name="_MON_1261984347"/>
      <w:bookmarkStart w:id="254" w:name="_MON_1261984392"/>
      <w:bookmarkStart w:id="255" w:name="_MON_1261987453"/>
      <w:bookmarkStart w:id="256" w:name="_MON_1261988036"/>
      <w:bookmarkStart w:id="257" w:name="_MON_1261988201"/>
      <w:bookmarkStart w:id="258" w:name="_MON_1261988698"/>
      <w:bookmarkStart w:id="259" w:name="_MON_1261988786"/>
      <w:bookmarkStart w:id="260" w:name="_MON_1262081267"/>
      <w:bookmarkStart w:id="261" w:name="_MON_1265177688"/>
      <w:bookmarkStart w:id="262" w:name="_MON_1265177775"/>
      <w:bookmarkStart w:id="263" w:name="_MON_1265177807"/>
      <w:bookmarkStart w:id="264" w:name="_MON_1265178210"/>
      <w:bookmarkStart w:id="265" w:name="_MON_1265178413"/>
      <w:bookmarkStart w:id="266" w:name="_MON_1265178618"/>
      <w:bookmarkStart w:id="267" w:name="_MON_1265178640"/>
      <w:bookmarkStart w:id="268" w:name="_MON_1265178706"/>
      <w:bookmarkStart w:id="269" w:name="_MON_1265178740"/>
      <w:bookmarkStart w:id="270" w:name="_MON_1265178756"/>
      <w:bookmarkStart w:id="271" w:name="_MON_1265178776"/>
      <w:bookmarkStart w:id="272" w:name="_MON_1265179050"/>
      <w:bookmarkStart w:id="273" w:name="_MON_1265203740"/>
      <w:bookmarkStart w:id="274" w:name="_MON_1265203925"/>
      <w:bookmarkStart w:id="275" w:name="_MON_1269880943"/>
      <w:bookmarkStart w:id="276" w:name="_MON_1269927917"/>
      <w:bookmarkStart w:id="277" w:name="_MON_1270030383"/>
      <w:bookmarkStart w:id="278" w:name="_MON_1270043816"/>
      <w:bookmarkStart w:id="279" w:name="_MON_1270106899"/>
      <w:bookmarkStart w:id="280" w:name="_MON_1302534384"/>
      <w:bookmarkStart w:id="281" w:name="_MON_1330931984"/>
      <w:bookmarkStart w:id="282" w:name="_MON_1332601732"/>
      <w:bookmarkStart w:id="283" w:name="_MON_1332601919"/>
      <w:bookmarkStart w:id="284" w:name="_MON_1332601930"/>
      <w:bookmarkStart w:id="285" w:name="_MON_1332602057"/>
      <w:bookmarkStart w:id="286" w:name="_MON_1332602127"/>
      <w:bookmarkStart w:id="287" w:name="_MON_1332602157"/>
      <w:bookmarkStart w:id="288" w:name="_MON_1332602165"/>
      <w:bookmarkStart w:id="289" w:name="_MON_1333465808"/>
      <w:bookmarkStart w:id="290" w:name="_MON_1333517026"/>
      <w:bookmarkStart w:id="291" w:name="_MON_1333779164"/>
      <w:bookmarkStart w:id="292" w:name="_MON_1354611801"/>
      <w:bookmarkStart w:id="293" w:name="_MON_1354611804"/>
      <w:bookmarkStart w:id="294" w:name="_MON_1354611849"/>
      <w:bookmarkStart w:id="295" w:name="_MON_1354612580"/>
      <w:bookmarkStart w:id="296" w:name="_MON_1354612596"/>
      <w:bookmarkStart w:id="297" w:name="_MON_1365229243"/>
      <w:bookmarkStart w:id="298" w:name="_MON_1365264386"/>
      <w:bookmarkStart w:id="299" w:name="_MON_1365265332"/>
      <w:bookmarkStart w:id="300" w:name="_MON_1395484172"/>
      <w:bookmarkStart w:id="301" w:name="_MON_1395493897"/>
      <w:bookmarkStart w:id="302" w:name="_MON_1498736528"/>
      <w:bookmarkStart w:id="303" w:name="_MON_1498736572"/>
      <w:bookmarkStart w:id="304" w:name="_MON_1498736827"/>
      <w:bookmarkStart w:id="305" w:name="_MON_1498736850"/>
      <w:bookmarkStart w:id="306" w:name="_MON_1498736963"/>
      <w:bookmarkStart w:id="307" w:name="_MON_1498737102"/>
      <w:bookmarkStart w:id="308" w:name="_MON_1498737321"/>
      <w:bookmarkStart w:id="309" w:name="_MON_1500026021"/>
      <w:bookmarkStart w:id="310" w:name="_MON_1518166268"/>
      <w:bookmarkStart w:id="311" w:name="_MON_1518166275"/>
      <w:bookmarkStart w:id="312" w:name="_MON_1518166344"/>
      <w:bookmarkStart w:id="313" w:name="_MON_1518166609"/>
      <w:bookmarkStart w:id="314" w:name="_MON_1026720658"/>
      <w:bookmarkStart w:id="315" w:name="_MON_1028382346"/>
      <w:bookmarkStart w:id="316" w:name="_MON_1028384485"/>
      <w:bookmarkStart w:id="317" w:name="_MON_1028384945"/>
      <w:bookmarkStart w:id="318" w:name="_MON_1028385091"/>
      <w:bookmarkStart w:id="319" w:name="_MON_1028385299"/>
      <w:bookmarkStart w:id="320" w:name="_MON_1028386701"/>
      <w:bookmarkStart w:id="321" w:name="_MON_1028450125"/>
      <w:bookmarkStart w:id="322" w:name="_MON_1028450479"/>
      <w:bookmarkStart w:id="323" w:name="_MON_1028456937"/>
      <w:bookmarkStart w:id="324" w:name="_MON_1028471937"/>
      <w:bookmarkStart w:id="325" w:name="_MON_1028471952"/>
      <w:bookmarkStart w:id="326" w:name="_MON_1028527677"/>
      <w:bookmarkStart w:id="327" w:name="_MON_1028535619"/>
      <w:bookmarkStart w:id="328" w:name="OLE_LINK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Start w:id="329" w:name="_MON_1028536155"/>
      <w:bookmarkEnd w:id="329"/>
      <w:r w:rsidR="008431E9" w:rsidRPr="009E1BB7">
        <w:rPr>
          <w:rFonts w:cs="Tahoma"/>
          <w:lang w:val="en-GB"/>
        </w:rPr>
        <w:object w:dxaOrig="9265" w:dyaOrig="5792" w14:anchorId="313E3E2E">
          <v:shape id="_x0000_i1028" type="#_x0000_t75" style="width:462pt;height:305.25pt" o:ole="" fillcolor="window">
            <v:imagedata r:id="rId15" o:title=""/>
          </v:shape>
          <o:OLEObject Type="Embed" ProgID="Excel.Sheet.8" ShapeID="_x0000_i1028" DrawAspect="Content" ObjectID="_1735982587" r:id="rId16"/>
        </w:object>
      </w:r>
      <w:bookmarkEnd w:id="328"/>
    </w:p>
    <w:p w14:paraId="31716E93" w14:textId="77777777" w:rsidR="000F5950" w:rsidRDefault="000F5950" w:rsidP="0014726B">
      <w:pPr>
        <w:spacing w:before="120" w:after="120"/>
        <w:jc w:val="both"/>
        <w:rPr>
          <w:rFonts w:cs="Tahoma"/>
          <w:szCs w:val="18"/>
          <w:lang w:eastAsia="en-US"/>
        </w:rPr>
      </w:pPr>
    </w:p>
    <w:p w14:paraId="67ABCF4C" w14:textId="77777777" w:rsidR="000F5950" w:rsidRDefault="000F5950" w:rsidP="0014726B">
      <w:pPr>
        <w:spacing w:before="120" w:after="120"/>
        <w:jc w:val="both"/>
        <w:rPr>
          <w:rFonts w:cs="Tahoma"/>
          <w:szCs w:val="18"/>
          <w:lang w:eastAsia="en-US"/>
        </w:rPr>
      </w:pPr>
    </w:p>
    <w:p w14:paraId="453C84E7" w14:textId="77777777" w:rsidR="000F5950" w:rsidRDefault="000F5950" w:rsidP="0014726B">
      <w:pPr>
        <w:spacing w:before="120" w:after="120"/>
        <w:jc w:val="both"/>
        <w:rPr>
          <w:rFonts w:cs="Tahoma"/>
          <w:szCs w:val="18"/>
          <w:lang w:eastAsia="en-US"/>
        </w:rPr>
      </w:pPr>
    </w:p>
    <w:p w14:paraId="0F31AA52" w14:textId="77777777" w:rsidR="000F5950" w:rsidRDefault="000F5950" w:rsidP="0014726B">
      <w:pPr>
        <w:spacing w:before="120" w:after="120"/>
        <w:jc w:val="both"/>
        <w:rPr>
          <w:rFonts w:cs="Tahoma"/>
          <w:szCs w:val="18"/>
          <w:lang w:eastAsia="en-US"/>
        </w:rPr>
      </w:pPr>
    </w:p>
    <w:p w14:paraId="7F5FCD33" w14:textId="77777777" w:rsidR="000F5950" w:rsidRDefault="000F5950" w:rsidP="0014726B">
      <w:pPr>
        <w:spacing w:before="120" w:after="120"/>
        <w:jc w:val="both"/>
        <w:rPr>
          <w:rFonts w:cs="Tahoma"/>
          <w:szCs w:val="18"/>
          <w:lang w:eastAsia="en-US"/>
        </w:rPr>
      </w:pPr>
    </w:p>
    <w:p w14:paraId="2F1BDCEE" w14:textId="02107D82" w:rsidR="0014726B" w:rsidRDefault="0014726B" w:rsidP="0014726B">
      <w:pPr>
        <w:spacing w:before="120" w:after="120"/>
        <w:jc w:val="both"/>
        <w:rPr>
          <w:rFonts w:cs="Tahoma"/>
          <w:szCs w:val="18"/>
        </w:rPr>
      </w:pPr>
    </w:p>
    <w:p w14:paraId="4DAB8C17" w14:textId="3FD28915" w:rsidR="006D7094" w:rsidRDefault="006D7094" w:rsidP="0014726B">
      <w:pPr>
        <w:spacing w:before="120" w:after="120"/>
        <w:jc w:val="both"/>
        <w:rPr>
          <w:rFonts w:cs="Tahoma"/>
          <w:szCs w:val="18"/>
        </w:rPr>
      </w:pPr>
    </w:p>
    <w:p w14:paraId="0AE1D39B" w14:textId="147FA725" w:rsidR="00C133B4" w:rsidRDefault="00C133B4" w:rsidP="0014726B">
      <w:pPr>
        <w:spacing w:before="120" w:after="120"/>
        <w:jc w:val="both"/>
        <w:rPr>
          <w:rFonts w:cs="Tahoma"/>
          <w:szCs w:val="18"/>
        </w:rPr>
      </w:pPr>
    </w:p>
    <w:p w14:paraId="003BF503" w14:textId="77777777" w:rsidR="00C133B4" w:rsidRPr="00A84647" w:rsidRDefault="00C133B4" w:rsidP="0014726B">
      <w:pPr>
        <w:spacing w:before="120" w:after="120"/>
        <w:jc w:val="both"/>
        <w:rPr>
          <w:rFonts w:cs="Tahoma"/>
          <w:szCs w:val="18"/>
        </w:rPr>
      </w:pPr>
    </w:p>
    <w:p w14:paraId="5AF75DA4" w14:textId="77777777" w:rsidR="0014726B" w:rsidRPr="00A84647" w:rsidRDefault="0014726B" w:rsidP="0014726B">
      <w:pPr>
        <w:spacing w:before="120" w:after="120"/>
        <w:jc w:val="both"/>
        <w:rPr>
          <w:rFonts w:cs="Tahoma"/>
          <w:szCs w:val="18"/>
        </w:rPr>
      </w:pPr>
    </w:p>
    <w:tbl>
      <w:tblPr>
        <w:tblW w:w="8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567"/>
        <w:gridCol w:w="2330"/>
        <w:gridCol w:w="567"/>
        <w:gridCol w:w="2330"/>
      </w:tblGrid>
      <w:tr w:rsidR="0014726B" w:rsidRPr="00A84647" w14:paraId="04541333" w14:textId="77777777" w:rsidTr="002D1537">
        <w:tc>
          <w:tcPr>
            <w:tcW w:w="2328" w:type="dxa"/>
            <w:tcBorders>
              <w:top w:val="nil"/>
              <w:left w:val="nil"/>
              <w:right w:val="nil"/>
            </w:tcBorders>
            <w:shd w:val="clear" w:color="auto" w:fill="auto"/>
          </w:tcPr>
          <w:p w14:paraId="5ED04BD8" w14:textId="77777777" w:rsidR="0014726B" w:rsidRPr="00A84647" w:rsidRDefault="0014726B" w:rsidP="00DF1A84">
            <w:pPr>
              <w:spacing w:after="0"/>
              <w:jc w:val="center"/>
              <w:rPr>
                <w:rFonts w:cs="Tahoma"/>
                <w:szCs w:val="18"/>
              </w:rPr>
            </w:pPr>
          </w:p>
        </w:tc>
        <w:tc>
          <w:tcPr>
            <w:tcW w:w="567" w:type="dxa"/>
            <w:tcBorders>
              <w:top w:val="nil"/>
              <w:left w:val="nil"/>
              <w:bottom w:val="nil"/>
              <w:right w:val="nil"/>
            </w:tcBorders>
          </w:tcPr>
          <w:p w14:paraId="77FA938D" w14:textId="77777777" w:rsidR="0014726B" w:rsidRPr="00A84647" w:rsidRDefault="0014726B" w:rsidP="00DF1A84">
            <w:pPr>
              <w:spacing w:after="0"/>
              <w:jc w:val="center"/>
              <w:rPr>
                <w:rFonts w:cs="Tahoma"/>
                <w:szCs w:val="18"/>
              </w:rPr>
            </w:pPr>
          </w:p>
        </w:tc>
        <w:tc>
          <w:tcPr>
            <w:tcW w:w="2330" w:type="dxa"/>
            <w:tcBorders>
              <w:top w:val="nil"/>
              <w:left w:val="nil"/>
              <w:bottom w:val="nil"/>
              <w:right w:val="nil"/>
            </w:tcBorders>
          </w:tcPr>
          <w:p w14:paraId="62FB929D" w14:textId="77777777" w:rsidR="0014726B" w:rsidRPr="00A84647" w:rsidRDefault="0014726B" w:rsidP="00DF1A84">
            <w:pPr>
              <w:spacing w:after="0"/>
              <w:jc w:val="center"/>
              <w:rPr>
                <w:rFonts w:cs="Tahoma"/>
                <w:szCs w:val="18"/>
              </w:rPr>
            </w:pPr>
          </w:p>
        </w:tc>
        <w:tc>
          <w:tcPr>
            <w:tcW w:w="567" w:type="dxa"/>
            <w:tcBorders>
              <w:top w:val="nil"/>
              <w:left w:val="nil"/>
              <w:bottom w:val="nil"/>
              <w:right w:val="nil"/>
            </w:tcBorders>
          </w:tcPr>
          <w:p w14:paraId="68347DC1" w14:textId="77777777" w:rsidR="0014726B" w:rsidRPr="00A84647" w:rsidRDefault="0014726B" w:rsidP="00DF1A84">
            <w:pPr>
              <w:spacing w:after="0"/>
              <w:jc w:val="center"/>
              <w:rPr>
                <w:rFonts w:cs="Tahoma"/>
                <w:szCs w:val="18"/>
              </w:rPr>
            </w:pPr>
          </w:p>
        </w:tc>
        <w:tc>
          <w:tcPr>
            <w:tcW w:w="2330" w:type="dxa"/>
            <w:tcBorders>
              <w:top w:val="nil"/>
              <w:left w:val="nil"/>
              <w:bottom w:val="single" w:sz="4" w:space="0" w:color="auto"/>
              <w:right w:val="nil"/>
            </w:tcBorders>
          </w:tcPr>
          <w:p w14:paraId="40C94475" w14:textId="77777777" w:rsidR="0014726B" w:rsidRPr="00A84647" w:rsidRDefault="0014726B" w:rsidP="00DF1A84">
            <w:pPr>
              <w:spacing w:after="0"/>
              <w:jc w:val="center"/>
              <w:rPr>
                <w:rFonts w:cs="Tahoma"/>
                <w:szCs w:val="18"/>
              </w:rPr>
            </w:pPr>
          </w:p>
        </w:tc>
      </w:tr>
    </w:tbl>
    <w:p w14:paraId="27565751" w14:textId="77777777" w:rsidR="00442B26" w:rsidRPr="00A84647" w:rsidRDefault="00442B26" w:rsidP="0014726B">
      <w:pPr>
        <w:spacing w:before="120" w:after="120"/>
        <w:jc w:val="both"/>
        <w:rPr>
          <w:rFonts w:cs="Tahoma"/>
          <w:szCs w:val="18"/>
        </w:rPr>
      </w:pPr>
    </w:p>
    <w:p w14:paraId="366096D8" w14:textId="77777777" w:rsidR="00D32162" w:rsidRDefault="00D32162" w:rsidP="00D32162">
      <w:pPr>
        <w:pStyle w:val="Virsraksts1"/>
        <w:spacing w:after="360"/>
        <w:rPr>
          <w:rFonts w:ascii="Tahoma" w:hAnsi="Tahoma" w:cs="Tahoma"/>
          <w:color w:val="575756"/>
          <w:sz w:val="22"/>
          <w:szCs w:val="22"/>
          <w:lang w:val="en-GB"/>
        </w:rPr>
      </w:pPr>
      <w:r>
        <w:rPr>
          <w:rFonts w:ascii="Tahoma" w:hAnsi="Tahoma" w:cs="Tahoma"/>
          <w:color w:val="575756"/>
          <w:sz w:val="22"/>
          <w:szCs w:val="22"/>
          <w:lang w:val="en-GB"/>
        </w:rPr>
        <w:lastRenderedPageBreak/>
        <w:t>Pašu kapitāla izmaiņu pārskats</w:t>
      </w:r>
    </w:p>
    <w:bookmarkStart w:id="330" w:name="_MON_1542197884"/>
    <w:bookmarkEnd w:id="330"/>
    <w:p w14:paraId="17987258" w14:textId="0BD52DA1" w:rsidR="006518AE" w:rsidRDefault="00EB4F08" w:rsidP="0014726B">
      <w:pPr>
        <w:rPr>
          <w:rFonts w:cs="Tahoma"/>
          <w:szCs w:val="18"/>
          <w:lang w:val="en-GB"/>
        </w:rPr>
      </w:pPr>
      <w:r w:rsidRPr="009E1BB7">
        <w:rPr>
          <w:rFonts w:cs="Tahoma"/>
          <w:lang w:val="en-GB"/>
        </w:rPr>
        <w:object w:dxaOrig="9218" w:dyaOrig="8478" w14:anchorId="3BE43EC8">
          <v:shape id="_x0000_i1029" type="#_x0000_t75" style="width:460.5pt;height:423.75pt" o:ole="" fillcolor="window">
            <v:imagedata r:id="rId17" o:title=""/>
          </v:shape>
          <o:OLEObject Type="Embed" ProgID="Excel.Sheet.8" ShapeID="_x0000_i1029" DrawAspect="Content" ObjectID="_1735982588" r:id="rId18"/>
        </w:object>
      </w:r>
    </w:p>
    <w:p w14:paraId="39EF9D51" w14:textId="77777777" w:rsidR="005270C4" w:rsidRPr="0014726B" w:rsidRDefault="005270C4" w:rsidP="0014726B">
      <w:pPr>
        <w:spacing w:before="120" w:after="120"/>
        <w:jc w:val="both"/>
        <w:rPr>
          <w:rFonts w:cs="Tahoma"/>
          <w:szCs w:val="18"/>
        </w:rPr>
      </w:pPr>
    </w:p>
    <w:p w14:paraId="073BE4BD" w14:textId="77777777" w:rsidR="0014726B" w:rsidRPr="0014726B" w:rsidRDefault="0014726B" w:rsidP="0014726B">
      <w:pPr>
        <w:pStyle w:val="Pamatteksts2"/>
        <w:rPr>
          <w:rFonts w:ascii="Tahoma" w:hAnsi="Tahoma" w:cs="Tahoma"/>
          <w:szCs w:val="18"/>
          <w:lang w:val="en-GB"/>
        </w:rPr>
      </w:pPr>
    </w:p>
    <w:p w14:paraId="1FC2E407" w14:textId="77777777" w:rsidR="0014726B" w:rsidRPr="009E1BB7" w:rsidRDefault="0014726B" w:rsidP="0014726B">
      <w:pPr>
        <w:pStyle w:val="Pamatteksts2"/>
        <w:rPr>
          <w:rFonts w:ascii="Tahoma" w:hAnsi="Tahoma" w:cs="Tahoma"/>
          <w:sz w:val="14"/>
          <w:szCs w:val="18"/>
          <w:lang w:val="en-GB"/>
        </w:rPr>
      </w:pPr>
    </w:p>
    <w:p w14:paraId="2755832E" w14:textId="65FE4B53" w:rsidR="000275EA" w:rsidRDefault="000275EA" w:rsidP="0014726B">
      <w:pPr>
        <w:pStyle w:val="Virsraksts1"/>
        <w:spacing w:after="0" w:line="240" w:lineRule="auto"/>
        <w:rPr>
          <w:rFonts w:cs="Tahoma"/>
          <w:szCs w:val="18"/>
        </w:rPr>
      </w:pPr>
      <w:bookmarkStart w:id="331" w:name="_Toc473130136"/>
      <w:bookmarkStart w:id="332" w:name="_Toc468781799"/>
    </w:p>
    <w:p w14:paraId="16964166" w14:textId="1C4A8460" w:rsidR="00764A5C" w:rsidRDefault="00764A5C" w:rsidP="00764A5C"/>
    <w:p w14:paraId="71C50F85" w14:textId="679CAAEF" w:rsidR="00E37965" w:rsidRDefault="00E37965" w:rsidP="00764A5C"/>
    <w:p w14:paraId="00566F5D" w14:textId="5B9B8096" w:rsidR="00FE6C71" w:rsidRDefault="00FE6C71" w:rsidP="00764A5C"/>
    <w:p w14:paraId="77A0E3FD" w14:textId="72575785" w:rsidR="00FE6C71" w:rsidRDefault="00FE6C71" w:rsidP="00764A5C"/>
    <w:p w14:paraId="1BC577D7" w14:textId="01932397" w:rsidR="00FE6C71" w:rsidRDefault="00FE6C71" w:rsidP="00764A5C"/>
    <w:p w14:paraId="04C8F8FA" w14:textId="77777777" w:rsidR="00FE6C71" w:rsidRDefault="00FE6C71" w:rsidP="00764A5C"/>
    <w:p w14:paraId="693C6E86" w14:textId="77777777" w:rsidR="00E37965" w:rsidRPr="00764A5C" w:rsidRDefault="00E37965" w:rsidP="00764A5C"/>
    <w:p w14:paraId="1D5796B0" w14:textId="77777777" w:rsidR="008D0CA3" w:rsidRPr="00A84647" w:rsidRDefault="008D3B13" w:rsidP="00F878BD">
      <w:pPr>
        <w:pStyle w:val="Virsraksts1"/>
        <w:spacing w:after="360"/>
        <w:rPr>
          <w:rFonts w:ascii="Tahoma" w:hAnsi="Tahoma" w:cs="Tahoma"/>
          <w:color w:val="575756"/>
          <w:sz w:val="18"/>
          <w:szCs w:val="18"/>
        </w:rPr>
      </w:pPr>
      <w:bookmarkStart w:id="333" w:name="_Toc473130137"/>
      <w:bookmarkEnd w:id="331"/>
      <w:bookmarkEnd w:id="332"/>
      <w:r w:rsidRPr="00A84647">
        <w:rPr>
          <w:rFonts w:ascii="Tahoma" w:hAnsi="Tahoma" w:cs="Tahoma"/>
          <w:color w:val="575756"/>
          <w:sz w:val="18"/>
          <w:szCs w:val="18"/>
        </w:rPr>
        <w:lastRenderedPageBreak/>
        <w:t>Finanšu pārskata pielikums</w:t>
      </w:r>
      <w:bookmarkEnd w:id="333"/>
    </w:p>
    <w:p w14:paraId="443C8CFE" w14:textId="77777777" w:rsidR="0058295F" w:rsidRPr="00A84647" w:rsidRDefault="0058295F" w:rsidP="000E03E3">
      <w:pPr>
        <w:rPr>
          <w:rFonts w:cs="Tahoma"/>
          <w:b/>
          <w:szCs w:val="18"/>
          <w:u w:val="single"/>
        </w:rPr>
      </w:pPr>
      <w:bookmarkStart w:id="334" w:name="_Notes_to_the"/>
      <w:bookmarkStart w:id="335" w:name="_Toc431813418"/>
      <w:bookmarkStart w:id="336" w:name="_Toc465249635"/>
      <w:bookmarkEnd w:id="334"/>
      <w:r w:rsidRPr="00A84647">
        <w:rPr>
          <w:rFonts w:cs="Tahoma"/>
          <w:b/>
          <w:szCs w:val="18"/>
          <w:u w:val="single"/>
        </w:rPr>
        <w:t>Vispārīga informācija</w:t>
      </w:r>
    </w:p>
    <w:tbl>
      <w:tblPr>
        <w:tblW w:w="9173" w:type="dxa"/>
        <w:tblLook w:val="04A0" w:firstRow="1" w:lastRow="0" w:firstColumn="1" w:lastColumn="0" w:noHBand="0" w:noVBand="1"/>
      </w:tblPr>
      <w:tblGrid>
        <w:gridCol w:w="3008"/>
        <w:gridCol w:w="2356"/>
        <w:gridCol w:w="3662"/>
        <w:gridCol w:w="147"/>
      </w:tblGrid>
      <w:tr w:rsidR="0058295F" w:rsidRPr="00A84647" w14:paraId="0CBE66B6" w14:textId="77777777" w:rsidTr="00FF3DA5">
        <w:trPr>
          <w:gridAfter w:val="1"/>
          <w:wAfter w:w="147" w:type="dxa"/>
        </w:trPr>
        <w:tc>
          <w:tcPr>
            <w:tcW w:w="3008" w:type="dxa"/>
            <w:shd w:val="clear" w:color="auto" w:fill="auto"/>
          </w:tcPr>
          <w:p w14:paraId="61F9C8CF" w14:textId="77777777" w:rsidR="0058295F" w:rsidRPr="00A84647" w:rsidRDefault="0058295F" w:rsidP="00474032">
            <w:pPr>
              <w:spacing w:before="120" w:after="120"/>
              <w:jc w:val="both"/>
              <w:rPr>
                <w:rFonts w:cs="Tahoma"/>
                <w:szCs w:val="18"/>
              </w:rPr>
            </w:pPr>
            <w:r w:rsidRPr="00A84647">
              <w:rPr>
                <w:rFonts w:cs="Tahoma"/>
                <w:szCs w:val="18"/>
              </w:rPr>
              <w:t>Sabiedrības nosaukums</w:t>
            </w:r>
          </w:p>
        </w:tc>
        <w:tc>
          <w:tcPr>
            <w:tcW w:w="6018" w:type="dxa"/>
            <w:gridSpan w:val="2"/>
            <w:shd w:val="clear" w:color="auto" w:fill="auto"/>
          </w:tcPr>
          <w:p w14:paraId="4699938D" w14:textId="77777777" w:rsidR="0058295F" w:rsidRPr="00A84647" w:rsidRDefault="0058295F" w:rsidP="0014726B">
            <w:pPr>
              <w:spacing w:before="120" w:after="120"/>
              <w:jc w:val="both"/>
              <w:rPr>
                <w:rFonts w:cs="Tahoma"/>
                <w:szCs w:val="18"/>
              </w:rPr>
            </w:pPr>
            <w:r w:rsidRPr="00A84647">
              <w:rPr>
                <w:rFonts w:cs="Tahoma"/>
                <w:szCs w:val="18"/>
              </w:rPr>
              <w:t>Sabiedrība ar ierobežotu atbildību “</w:t>
            </w:r>
            <w:r w:rsidR="0014726B">
              <w:rPr>
                <w:rFonts w:cs="Tahoma"/>
                <w:szCs w:val="18"/>
              </w:rPr>
              <w:t>Limbažu slimnīca”</w:t>
            </w:r>
          </w:p>
        </w:tc>
      </w:tr>
      <w:tr w:rsidR="0058295F" w:rsidRPr="00A84647" w14:paraId="322D128F" w14:textId="77777777" w:rsidTr="00FF3DA5">
        <w:trPr>
          <w:gridAfter w:val="1"/>
          <w:wAfter w:w="147" w:type="dxa"/>
        </w:trPr>
        <w:tc>
          <w:tcPr>
            <w:tcW w:w="3008" w:type="dxa"/>
            <w:shd w:val="clear" w:color="auto" w:fill="auto"/>
          </w:tcPr>
          <w:p w14:paraId="7F770976" w14:textId="77777777" w:rsidR="0058295F" w:rsidRPr="00A84647" w:rsidRDefault="0058295F" w:rsidP="00474032">
            <w:pPr>
              <w:spacing w:before="120" w:after="120"/>
              <w:jc w:val="both"/>
              <w:rPr>
                <w:rFonts w:cs="Tahoma"/>
                <w:szCs w:val="18"/>
              </w:rPr>
            </w:pPr>
            <w:r w:rsidRPr="00A84647">
              <w:rPr>
                <w:rFonts w:cs="Tahoma"/>
                <w:szCs w:val="18"/>
              </w:rPr>
              <w:t>Sabiedrības juridiskais statuss</w:t>
            </w:r>
          </w:p>
        </w:tc>
        <w:tc>
          <w:tcPr>
            <w:tcW w:w="6018" w:type="dxa"/>
            <w:gridSpan w:val="2"/>
            <w:shd w:val="clear" w:color="auto" w:fill="auto"/>
          </w:tcPr>
          <w:p w14:paraId="14B300A9" w14:textId="77777777" w:rsidR="0058295F" w:rsidRPr="00A84647" w:rsidRDefault="0058295F" w:rsidP="00474032">
            <w:pPr>
              <w:spacing w:before="120" w:after="120"/>
              <w:jc w:val="both"/>
              <w:rPr>
                <w:rFonts w:cs="Tahoma"/>
                <w:szCs w:val="18"/>
              </w:rPr>
            </w:pPr>
            <w:r w:rsidRPr="00A84647">
              <w:rPr>
                <w:rFonts w:cs="Tahoma"/>
                <w:szCs w:val="18"/>
              </w:rPr>
              <w:t>Sabiedrība ar ierobežotu atbildību</w:t>
            </w:r>
          </w:p>
        </w:tc>
      </w:tr>
      <w:tr w:rsidR="0058295F" w:rsidRPr="00A84647" w14:paraId="4AF9DADC" w14:textId="77777777" w:rsidTr="00FF3DA5">
        <w:trPr>
          <w:gridAfter w:val="1"/>
          <w:wAfter w:w="147" w:type="dxa"/>
        </w:trPr>
        <w:tc>
          <w:tcPr>
            <w:tcW w:w="3008" w:type="dxa"/>
            <w:shd w:val="clear" w:color="auto" w:fill="auto"/>
          </w:tcPr>
          <w:p w14:paraId="557A8B06" w14:textId="77777777" w:rsidR="00FF3DA5" w:rsidRDefault="00FF3DA5" w:rsidP="00FF3DA5">
            <w:pPr>
              <w:spacing w:after="0"/>
              <w:jc w:val="both"/>
              <w:rPr>
                <w:rFonts w:cs="Tahoma"/>
                <w:szCs w:val="18"/>
              </w:rPr>
            </w:pPr>
            <w:r>
              <w:rPr>
                <w:rFonts w:cs="Tahoma"/>
                <w:szCs w:val="18"/>
              </w:rPr>
              <w:t xml:space="preserve">Reģistrācijas </w:t>
            </w:r>
            <w:r w:rsidRPr="008941FE">
              <w:rPr>
                <w:rFonts w:cs="Tahoma"/>
                <w:szCs w:val="18"/>
              </w:rPr>
              <w:t>numurs</w:t>
            </w:r>
            <w:r w:rsidR="0058295F" w:rsidRPr="008941FE">
              <w:rPr>
                <w:rFonts w:cs="Tahoma"/>
                <w:szCs w:val="18"/>
              </w:rPr>
              <w:t>,</w:t>
            </w:r>
            <w:r w:rsidR="0058295F" w:rsidRPr="00A84647">
              <w:rPr>
                <w:rFonts w:cs="Tahoma"/>
                <w:szCs w:val="18"/>
              </w:rPr>
              <w:t xml:space="preserve"> </w:t>
            </w:r>
          </w:p>
          <w:p w14:paraId="062DD683" w14:textId="59345A97" w:rsidR="0058295F" w:rsidRPr="00A84647" w:rsidRDefault="0058295F" w:rsidP="00FF3DA5">
            <w:pPr>
              <w:spacing w:after="0"/>
              <w:jc w:val="both"/>
              <w:rPr>
                <w:rFonts w:cs="Tahoma"/>
                <w:szCs w:val="18"/>
              </w:rPr>
            </w:pPr>
            <w:r w:rsidRPr="00A84647">
              <w:rPr>
                <w:rFonts w:cs="Tahoma"/>
                <w:szCs w:val="18"/>
              </w:rPr>
              <w:t>vieta un datums</w:t>
            </w:r>
          </w:p>
        </w:tc>
        <w:tc>
          <w:tcPr>
            <w:tcW w:w="6018" w:type="dxa"/>
            <w:gridSpan w:val="2"/>
            <w:shd w:val="clear" w:color="auto" w:fill="auto"/>
          </w:tcPr>
          <w:p w14:paraId="278B1BE9" w14:textId="77777777" w:rsidR="001C6EE1" w:rsidRPr="001C6EE1" w:rsidRDefault="0014726B" w:rsidP="001C6EE1">
            <w:pPr>
              <w:spacing w:after="0" w:line="240" w:lineRule="atLeast"/>
              <w:rPr>
                <w:rFonts w:eastAsia="Times New Roman" w:cs="Tahoma"/>
                <w:szCs w:val="18"/>
                <w:lang w:eastAsia="en-US"/>
              </w:rPr>
            </w:pPr>
            <w:r>
              <w:rPr>
                <w:rFonts w:eastAsia="Times New Roman" w:cs="Tahoma"/>
                <w:szCs w:val="18"/>
                <w:lang w:eastAsia="en-US"/>
              </w:rPr>
              <w:t>40003361616</w:t>
            </w:r>
          </w:p>
          <w:p w14:paraId="1EBA7597" w14:textId="77777777" w:rsidR="001C6EE1" w:rsidRPr="001C6EE1" w:rsidRDefault="0014726B" w:rsidP="001C6EE1">
            <w:pPr>
              <w:spacing w:after="0" w:line="240" w:lineRule="atLeast"/>
              <w:rPr>
                <w:rFonts w:eastAsia="Times New Roman" w:cs="Tahoma"/>
                <w:szCs w:val="18"/>
                <w:lang w:eastAsia="en-US"/>
              </w:rPr>
            </w:pPr>
            <w:r>
              <w:rPr>
                <w:rFonts w:eastAsia="Times New Roman" w:cs="Tahoma"/>
                <w:szCs w:val="18"/>
                <w:lang w:eastAsia="en-US"/>
              </w:rPr>
              <w:t>Limbaži</w:t>
            </w:r>
            <w:r w:rsidR="001C6EE1" w:rsidRPr="001C6EE1">
              <w:rPr>
                <w:rFonts w:eastAsia="Times New Roman" w:cs="Tahoma"/>
                <w:szCs w:val="18"/>
                <w:lang w:eastAsia="en-US"/>
              </w:rPr>
              <w:t xml:space="preserve">, </w:t>
            </w:r>
            <w:r>
              <w:rPr>
                <w:rFonts w:eastAsia="Times New Roman" w:cs="Tahoma"/>
                <w:szCs w:val="18"/>
                <w:lang w:eastAsia="en-US"/>
              </w:rPr>
              <w:t>2004</w:t>
            </w:r>
            <w:r w:rsidR="001C6EE1" w:rsidRPr="001C6EE1">
              <w:rPr>
                <w:rFonts w:eastAsia="Times New Roman" w:cs="Tahoma"/>
                <w:szCs w:val="18"/>
                <w:lang w:eastAsia="en-US"/>
              </w:rPr>
              <w:t xml:space="preserve">. gada </w:t>
            </w:r>
            <w:r>
              <w:rPr>
                <w:rFonts w:eastAsia="Times New Roman" w:cs="Tahoma"/>
                <w:szCs w:val="18"/>
                <w:lang w:eastAsia="en-US"/>
              </w:rPr>
              <w:t>24</w:t>
            </w:r>
            <w:r w:rsidR="001C6EE1" w:rsidRPr="001C6EE1">
              <w:rPr>
                <w:rFonts w:eastAsia="Times New Roman" w:cs="Tahoma"/>
                <w:szCs w:val="18"/>
                <w:lang w:eastAsia="en-US"/>
              </w:rPr>
              <w:t xml:space="preserve">. </w:t>
            </w:r>
            <w:r>
              <w:rPr>
                <w:rFonts w:eastAsia="Times New Roman" w:cs="Tahoma"/>
                <w:szCs w:val="18"/>
                <w:lang w:eastAsia="en-US"/>
              </w:rPr>
              <w:t>decembris</w:t>
            </w:r>
          </w:p>
          <w:p w14:paraId="723DE151" w14:textId="77777777" w:rsidR="0058295F" w:rsidRPr="001C6EE1" w:rsidRDefault="0058295F" w:rsidP="001C6EE1">
            <w:pPr>
              <w:spacing w:after="0"/>
              <w:jc w:val="both"/>
              <w:rPr>
                <w:rFonts w:cs="Tahoma"/>
                <w:szCs w:val="18"/>
              </w:rPr>
            </w:pPr>
          </w:p>
        </w:tc>
      </w:tr>
      <w:tr w:rsidR="0058295F" w:rsidRPr="00A84647" w14:paraId="13D81B11" w14:textId="77777777" w:rsidTr="00FF3DA5">
        <w:trPr>
          <w:gridAfter w:val="1"/>
          <w:wAfter w:w="147" w:type="dxa"/>
        </w:trPr>
        <w:tc>
          <w:tcPr>
            <w:tcW w:w="3008" w:type="dxa"/>
            <w:shd w:val="clear" w:color="auto" w:fill="auto"/>
          </w:tcPr>
          <w:p w14:paraId="6E4DFC44" w14:textId="77777777" w:rsidR="0058295F" w:rsidRPr="00A84647" w:rsidRDefault="0058295F" w:rsidP="00474032">
            <w:pPr>
              <w:spacing w:before="120" w:after="120"/>
              <w:jc w:val="both"/>
              <w:rPr>
                <w:rFonts w:cs="Tahoma"/>
                <w:szCs w:val="18"/>
              </w:rPr>
            </w:pPr>
            <w:r w:rsidRPr="00A84647">
              <w:rPr>
                <w:rFonts w:cs="Tahoma"/>
                <w:szCs w:val="18"/>
              </w:rPr>
              <w:t>Juridiskā adrese</w:t>
            </w:r>
          </w:p>
        </w:tc>
        <w:tc>
          <w:tcPr>
            <w:tcW w:w="6018" w:type="dxa"/>
            <w:gridSpan w:val="2"/>
            <w:shd w:val="clear" w:color="auto" w:fill="auto"/>
          </w:tcPr>
          <w:p w14:paraId="40D3AE72" w14:textId="489BF15B" w:rsidR="0058295F" w:rsidRPr="00A84647" w:rsidRDefault="0014726B" w:rsidP="00EE666D">
            <w:pPr>
              <w:spacing w:before="120" w:after="0"/>
              <w:jc w:val="both"/>
              <w:rPr>
                <w:rFonts w:cs="Tahoma"/>
                <w:szCs w:val="18"/>
              </w:rPr>
            </w:pPr>
            <w:r>
              <w:rPr>
                <w:rFonts w:cs="Tahoma"/>
                <w:szCs w:val="18"/>
              </w:rPr>
              <w:t>Klostera iela 3, Limbaži,</w:t>
            </w:r>
            <w:r w:rsidR="007F7069">
              <w:rPr>
                <w:rFonts w:cs="Tahoma"/>
                <w:szCs w:val="18"/>
              </w:rPr>
              <w:t xml:space="preserve"> </w:t>
            </w:r>
            <w:r w:rsidR="007F7069" w:rsidRPr="00544870">
              <w:rPr>
                <w:rFonts w:cs="Tahoma"/>
                <w:szCs w:val="18"/>
              </w:rPr>
              <w:t>Limbažu nov.,</w:t>
            </w:r>
            <w:r w:rsidR="007F7069">
              <w:rPr>
                <w:rFonts w:cs="Tahoma"/>
                <w:szCs w:val="18"/>
              </w:rPr>
              <w:t xml:space="preserve"> </w:t>
            </w:r>
            <w:r>
              <w:rPr>
                <w:rFonts w:cs="Tahoma"/>
                <w:szCs w:val="18"/>
              </w:rPr>
              <w:t>LV-4001</w:t>
            </w:r>
          </w:p>
        </w:tc>
      </w:tr>
      <w:tr w:rsidR="000275EA" w:rsidRPr="00A84647" w14:paraId="54ACA2E7" w14:textId="77777777" w:rsidTr="007F7069">
        <w:trPr>
          <w:trHeight w:val="854"/>
        </w:trPr>
        <w:tc>
          <w:tcPr>
            <w:tcW w:w="3008" w:type="dxa"/>
            <w:shd w:val="clear" w:color="auto" w:fill="auto"/>
          </w:tcPr>
          <w:p w14:paraId="649311DF" w14:textId="77777777" w:rsidR="0058295F" w:rsidRPr="00A84647" w:rsidRDefault="0058295F" w:rsidP="00474032">
            <w:pPr>
              <w:spacing w:before="120" w:after="120"/>
              <w:jc w:val="both"/>
              <w:rPr>
                <w:rFonts w:cs="Tahoma"/>
                <w:szCs w:val="18"/>
              </w:rPr>
            </w:pPr>
            <w:r w:rsidRPr="00A84647">
              <w:rPr>
                <w:rFonts w:cs="Tahoma"/>
                <w:szCs w:val="18"/>
              </w:rPr>
              <w:t>Valdes sastāvs</w:t>
            </w:r>
          </w:p>
        </w:tc>
        <w:tc>
          <w:tcPr>
            <w:tcW w:w="2356" w:type="dxa"/>
            <w:shd w:val="clear" w:color="auto" w:fill="auto"/>
          </w:tcPr>
          <w:p w14:paraId="792188C7" w14:textId="77777777" w:rsidR="0058295F" w:rsidRPr="00A84647" w:rsidRDefault="00EE666D" w:rsidP="00E35135">
            <w:pPr>
              <w:spacing w:before="120" w:after="0"/>
              <w:rPr>
                <w:rFonts w:cs="Tahoma"/>
                <w:szCs w:val="18"/>
              </w:rPr>
            </w:pPr>
            <w:r>
              <w:rPr>
                <w:rFonts w:cs="Tahoma"/>
                <w:szCs w:val="18"/>
              </w:rPr>
              <w:t>Gunta Ozola</w:t>
            </w:r>
          </w:p>
        </w:tc>
        <w:tc>
          <w:tcPr>
            <w:tcW w:w="3809" w:type="dxa"/>
            <w:gridSpan w:val="2"/>
            <w:shd w:val="clear" w:color="auto" w:fill="auto"/>
          </w:tcPr>
          <w:p w14:paraId="1689224C" w14:textId="77777777" w:rsidR="0058295F" w:rsidRPr="00A84647" w:rsidRDefault="0058295F" w:rsidP="00E35135">
            <w:pPr>
              <w:spacing w:before="120" w:after="0"/>
              <w:rPr>
                <w:rFonts w:cs="Tahoma"/>
                <w:szCs w:val="18"/>
              </w:rPr>
            </w:pPr>
            <w:r w:rsidRPr="00A84647">
              <w:rPr>
                <w:rFonts w:cs="Tahoma"/>
                <w:szCs w:val="18"/>
              </w:rPr>
              <w:t xml:space="preserve">valdes </w:t>
            </w:r>
            <w:r w:rsidR="00EE666D">
              <w:rPr>
                <w:rFonts w:cs="Tahoma"/>
                <w:szCs w:val="18"/>
              </w:rPr>
              <w:t>locekle</w:t>
            </w:r>
          </w:p>
          <w:p w14:paraId="25F57595" w14:textId="77777777" w:rsidR="0058295F" w:rsidRPr="00A84647" w:rsidRDefault="0058295F" w:rsidP="00EE666D">
            <w:pPr>
              <w:spacing w:before="120" w:after="0"/>
              <w:jc w:val="center"/>
              <w:rPr>
                <w:rFonts w:cs="Tahoma"/>
                <w:szCs w:val="18"/>
              </w:rPr>
            </w:pPr>
          </w:p>
        </w:tc>
      </w:tr>
      <w:tr w:rsidR="000275EA" w:rsidRPr="00A84647" w14:paraId="36972773" w14:textId="77777777" w:rsidTr="007F7069">
        <w:tc>
          <w:tcPr>
            <w:tcW w:w="3008" w:type="dxa"/>
            <w:shd w:val="clear" w:color="auto" w:fill="auto"/>
          </w:tcPr>
          <w:p w14:paraId="443C80E4" w14:textId="10D2013F" w:rsidR="0058295F" w:rsidRPr="00544870" w:rsidRDefault="0058295F" w:rsidP="00474032">
            <w:pPr>
              <w:spacing w:before="120" w:after="120"/>
              <w:jc w:val="both"/>
              <w:rPr>
                <w:rFonts w:cs="Tahoma"/>
                <w:szCs w:val="18"/>
              </w:rPr>
            </w:pPr>
            <w:r w:rsidRPr="00544870">
              <w:rPr>
                <w:rFonts w:cs="Tahoma"/>
                <w:szCs w:val="18"/>
              </w:rPr>
              <w:t>Dalībnieki</w:t>
            </w:r>
            <w:r w:rsidR="00C92009" w:rsidRPr="00544870">
              <w:rPr>
                <w:rFonts w:cs="Tahoma"/>
                <w:szCs w:val="18"/>
              </w:rPr>
              <w:t xml:space="preserve"> </w:t>
            </w:r>
          </w:p>
          <w:p w14:paraId="31440348" w14:textId="77777777" w:rsidR="00C92009" w:rsidRPr="00544870" w:rsidRDefault="00C92009" w:rsidP="00C92009">
            <w:pPr>
              <w:rPr>
                <w:rFonts w:cs="Tahoma"/>
                <w:szCs w:val="18"/>
              </w:rPr>
            </w:pPr>
          </w:p>
          <w:p w14:paraId="139BFCB6" w14:textId="77777777" w:rsidR="00C92009" w:rsidRPr="00544870" w:rsidRDefault="00C92009" w:rsidP="00C92009">
            <w:pPr>
              <w:rPr>
                <w:rFonts w:cs="Tahoma"/>
                <w:szCs w:val="18"/>
              </w:rPr>
            </w:pPr>
          </w:p>
          <w:p w14:paraId="7D5FC4A4" w14:textId="77777777" w:rsidR="00C92009" w:rsidRPr="00544870" w:rsidRDefault="00C92009" w:rsidP="00C92009">
            <w:pPr>
              <w:rPr>
                <w:rFonts w:cs="Tahoma"/>
                <w:szCs w:val="18"/>
              </w:rPr>
            </w:pPr>
          </w:p>
          <w:p w14:paraId="6BD2D20A" w14:textId="77777777" w:rsidR="00C92009" w:rsidRPr="00544870" w:rsidRDefault="00C92009" w:rsidP="00C92009">
            <w:pPr>
              <w:rPr>
                <w:rFonts w:cs="Tahoma"/>
                <w:szCs w:val="18"/>
              </w:rPr>
            </w:pPr>
          </w:p>
          <w:p w14:paraId="0E46F1AC" w14:textId="77777777" w:rsidR="00C92009" w:rsidRPr="00544870" w:rsidRDefault="00C92009" w:rsidP="00C92009">
            <w:pPr>
              <w:rPr>
                <w:rFonts w:cs="Tahoma"/>
                <w:szCs w:val="18"/>
              </w:rPr>
            </w:pPr>
          </w:p>
          <w:p w14:paraId="7DF26695" w14:textId="63868F26" w:rsidR="00C92009" w:rsidRPr="00544870" w:rsidRDefault="00C92009" w:rsidP="00C92009">
            <w:pPr>
              <w:rPr>
                <w:rFonts w:cs="Tahoma"/>
                <w:szCs w:val="18"/>
              </w:rPr>
            </w:pPr>
          </w:p>
        </w:tc>
        <w:tc>
          <w:tcPr>
            <w:tcW w:w="2356" w:type="dxa"/>
            <w:shd w:val="clear" w:color="auto" w:fill="auto"/>
          </w:tcPr>
          <w:p w14:paraId="5FF29AC4" w14:textId="234620F3" w:rsidR="00EE666D" w:rsidRPr="00544870" w:rsidRDefault="00EE666D" w:rsidP="009B5D64">
            <w:pPr>
              <w:spacing w:before="120" w:after="0"/>
              <w:rPr>
                <w:rFonts w:cs="Tahoma"/>
                <w:szCs w:val="18"/>
              </w:rPr>
            </w:pPr>
            <w:r w:rsidRPr="00544870">
              <w:rPr>
                <w:rFonts w:cs="Tahoma"/>
                <w:szCs w:val="18"/>
              </w:rPr>
              <w:t>Limbažu novada pašvaldība</w:t>
            </w:r>
          </w:p>
          <w:p w14:paraId="6D6C393C" w14:textId="77777777" w:rsidR="00716D38" w:rsidRDefault="00716D38" w:rsidP="009B5D64">
            <w:pPr>
              <w:spacing w:before="120" w:after="0"/>
              <w:rPr>
                <w:rFonts w:cs="Tahoma"/>
                <w:szCs w:val="18"/>
              </w:rPr>
            </w:pPr>
          </w:p>
          <w:p w14:paraId="6A6B6514" w14:textId="1403B610" w:rsidR="00C92009" w:rsidRPr="00544870" w:rsidRDefault="00C92009" w:rsidP="009B5D64">
            <w:pPr>
              <w:spacing w:before="120" w:after="0"/>
              <w:rPr>
                <w:rFonts w:cs="Tahoma"/>
                <w:szCs w:val="18"/>
              </w:rPr>
            </w:pPr>
            <w:r w:rsidRPr="00544870">
              <w:rPr>
                <w:rFonts w:cs="Tahoma"/>
                <w:szCs w:val="18"/>
              </w:rPr>
              <w:t>Siguldas novada pašvaldība</w:t>
            </w:r>
          </w:p>
          <w:p w14:paraId="6DF7FCA9" w14:textId="3E9824E5" w:rsidR="00C92009" w:rsidRPr="00544870" w:rsidRDefault="00C92009" w:rsidP="009B5D64">
            <w:pPr>
              <w:spacing w:before="120" w:after="0"/>
              <w:rPr>
                <w:rFonts w:cs="Tahoma"/>
                <w:i/>
                <w:szCs w:val="18"/>
              </w:rPr>
            </w:pPr>
          </w:p>
        </w:tc>
        <w:tc>
          <w:tcPr>
            <w:tcW w:w="3809" w:type="dxa"/>
            <w:gridSpan w:val="2"/>
            <w:shd w:val="clear" w:color="auto" w:fill="auto"/>
          </w:tcPr>
          <w:p w14:paraId="5DA4C598" w14:textId="2F3B5574" w:rsidR="0058295F" w:rsidRPr="00544870" w:rsidRDefault="00716D38" w:rsidP="00474032">
            <w:pPr>
              <w:spacing w:before="120" w:after="0"/>
              <w:jc w:val="both"/>
              <w:rPr>
                <w:rFonts w:cs="Tahoma"/>
                <w:szCs w:val="18"/>
              </w:rPr>
            </w:pPr>
            <w:r>
              <w:rPr>
                <w:rFonts w:cs="Tahoma"/>
                <w:szCs w:val="18"/>
              </w:rPr>
              <w:t>95.83493 %</w:t>
            </w:r>
          </w:p>
          <w:p w14:paraId="153D4F22" w14:textId="77777777" w:rsidR="0058295F" w:rsidRPr="00544870" w:rsidRDefault="0058295F" w:rsidP="00474032">
            <w:pPr>
              <w:spacing w:after="0"/>
              <w:jc w:val="both"/>
              <w:rPr>
                <w:rFonts w:cs="Tahoma"/>
                <w:i/>
                <w:szCs w:val="18"/>
              </w:rPr>
            </w:pPr>
          </w:p>
          <w:p w14:paraId="20B3279F" w14:textId="77777777" w:rsidR="00716D38" w:rsidRDefault="00716D38" w:rsidP="00474032">
            <w:pPr>
              <w:spacing w:after="120"/>
              <w:jc w:val="both"/>
              <w:rPr>
                <w:rFonts w:cs="Tahoma"/>
                <w:szCs w:val="18"/>
              </w:rPr>
            </w:pPr>
          </w:p>
          <w:p w14:paraId="09FA5923" w14:textId="77777777" w:rsidR="00716D38" w:rsidRDefault="00716D38" w:rsidP="00474032">
            <w:pPr>
              <w:spacing w:after="120"/>
              <w:jc w:val="both"/>
              <w:rPr>
                <w:rFonts w:cs="Tahoma"/>
                <w:szCs w:val="18"/>
              </w:rPr>
            </w:pPr>
          </w:p>
          <w:p w14:paraId="4C37CD26" w14:textId="6BDCA031" w:rsidR="00C92009" w:rsidRPr="00544870" w:rsidRDefault="00716D38" w:rsidP="00474032">
            <w:pPr>
              <w:spacing w:after="120"/>
              <w:jc w:val="both"/>
              <w:rPr>
                <w:rFonts w:cs="Tahoma"/>
                <w:szCs w:val="18"/>
              </w:rPr>
            </w:pPr>
            <w:r>
              <w:rPr>
                <w:rFonts w:cs="Tahoma"/>
                <w:szCs w:val="18"/>
              </w:rPr>
              <w:t>4.16507 %</w:t>
            </w:r>
          </w:p>
          <w:p w14:paraId="6A4A11BB" w14:textId="636C48F5" w:rsidR="00C92009" w:rsidRPr="00544870" w:rsidRDefault="00C92009" w:rsidP="00474032">
            <w:pPr>
              <w:spacing w:after="120"/>
              <w:jc w:val="both"/>
              <w:rPr>
                <w:rFonts w:cs="Tahoma"/>
                <w:szCs w:val="18"/>
              </w:rPr>
            </w:pPr>
          </w:p>
        </w:tc>
      </w:tr>
      <w:tr w:rsidR="009B5D64" w:rsidRPr="00A84647" w14:paraId="3B34E5B6" w14:textId="77777777" w:rsidTr="007F7069">
        <w:tc>
          <w:tcPr>
            <w:tcW w:w="3008" w:type="dxa"/>
            <w:shd w:val="clear" w:color="auto" w:fill="auto"/>
          </w:tcPr>
          <w:p w14:paraId="0550A5D1" w14:textId="77777777" w:rsidR="009B5D64" w:rsidRDefault="009B5D64" w:rsidP="009B5D64">
            <w:pPr>
              <w:spacing w:before="120" w:after="120"/>
              <w:jc w:val="both"/>
              <w:rPr>
                <w:rFonts w:cs="Tahoma"/>
                <w:szCs w:val="18"/>
              </w:rPr>
            </w:pPr>
          </w:p>
          <w:p w14:paraId="52683132" w14:textId="77777777" w:rsidR="00F44520" w:rsidRDefault="00F44520" w:rsidP="009B5D64">
            <w:pPr>
              <w:spacing w:before="120" w:after="120"/>
              <w:jc w:val="both"/>
              <w:rPr>
                <w:rFonts w:cs="Tahoma"/>
                <w:szCs w:val="18"/>
              </w:rPr>
            </w:pPr>
          </w:p>
          <w:p w14:paraId="5FD12B8F" w14:textId="01F5EBEA" w:rsidR="00F44520" w:rsidRPr="00AC793F" w:rsidRDefault="00F44520" w:rsidP="009B5D64">
            <w:pPr>
              <w:spacing w:before="120" w:after="120"/>
              <w:jc w:val="both"/>
              <w:rPr>
                <w:rFonts w:cs="Tahoma"/>
                <w:szCs w:val="18"/>
              </w:rPr>
            </w:pPr>
          </w:p>
        </w:tc>
        <w:tc>
          <w:tcPr>
            <w:tcW w:w="2356" w:type="dxa"/>
            <w:shd w:val="clear" w:color="auto" w:fill="auto"/>
          </w:tcPr>
          <w:p w14:paraId="76810368" w14:textId="059E43C8" w:rsidR="009B5D64" w:rsidRPr="00AC793F" w:rsidRDefault="009B5D64" w:rsidP="009B5D64">
            <w:pPr>
              <w:spacing w:before="120" w:after="0"/>
              <w:rPr>
                <w:rFonts w:cs="Tahoma"/>
                <w:szCs w:val="18"/>
              </w:rPr>
            </w:pPr>
          </w:p>
        </w:tc>
        <w:tc>
          <w:tcPr>
            <w:tcW w:w="3809" w:type="dxa"/>
            <w:gridSpan w:val="2"/>
            <w:shd w:val="clear" w:color="auto" w:fill="auto"/>
          </w:tcPr>
          <w:p w14:paraId="4E6CB3A7" w14:textId="759F9183" w:rsidR="009B5D64" w:rsidRPr="00AC793F" w:rsidRDefault="009B5D64" w:rsidP="00FF3DA5">
            <w:pPr>
              <w:spacing w:before="120" w:after="0"/>
              <w:ind w:left="181" w:hanging="181"/>
              <w:jc w:val="both"/>
              <w:rPr>
                <w:rFonts w:cs="Tahoma"/>
                <w:szCs w:val="18"/>
              </w:rPr>
            </w:pPr>
          </w:p>
        </w:tc>
      </w:tr>
      <w:tr w:rsidR="009B5D64" w:rsidRPr="00A84647" w14:paraId="01D94CD9" w14:textId="77777777" w:rsidTr="00FF3DA5">
        <w:trPr>
          <w:gridAfter w:val="1"/>
          <w:wAfter w:w="147" w:type="dxa"/>
        </w:trPr>
        <w:tc>
          <w:tcPr>
            <w:tcW w:w="3008" w:type="dxa"/>
            <w:shd w:val="clear" w:color="auto" w:fill="auto"/>
          </w:tcPr>
          <w:p w14:paraId="775D3B00" w14:textId="0D527B56" w:rsidR="009B5D64" w:rsidRPr="009331D4" w:rsidRDefault="009B5D64" w:rsidP="009B5D64">
            <w:pPr>
              <w:spacing w:before="120" w:after="120"/>
              <w:jc w:val="both"/>
              <w:rPr>
                <w:rFonts w:cs="Tahoma"/>
                <w:color w:val="FF0000"/>
                <w:szCs w:val="18"/>
              </w:rPr>
            </w:pPr>
          </w:p>
        </w:tc>
        <w:tc>
          <w:tcPr>
            <w:tcW w:w="6018" w:type="dxa"/>
            <w:gridSpan w:val="2"/>
            <w:shd w:val="clear" w:color="auto" w:fill="auto"/>
          </w:tcPr>
          <w:p w14:paraId="6C11CC58" w14:textId="77777777" w:rsidR="009B5D64" w:rsidRPr="00814CF9" w:rsidRDefault="009B5D64" w:rsidP="009B5D64">
            <w:pPr>
              <w:spacing w:before="120" w:after="120"/>
              <w:jc w:val="both"/>
              <w:rPr>
                <w:rFonts w:cs="Tahoma"/>
                <w:szCs w:val="18"/>
              </w:rPr>
            </w:pPr>
          </w:p>
        </w:tc>
      </w:tr>
      <w:tr w:rsidR="009B5D64" w:rsidRPr="00A84647" w14:paraId="18E10148" w14:textId="77777777" w:rsidTr="00FF3DA5">
        <w:trPr>
          <w:gridAfter w:val="1"/>
          <w:wAfter w:w="147" w:type="dxa"/>
        </w:trPr>
        <w:tc>
          <w:tcPr>
            <w:tcW w:w="3008" w:type="dxa"/>
            <w:shd w:val="clear" w:color="auto" w:fill="auto"/>
          </w:tcPr>
          <w:p w14:paraId="0865E47F" w14:textId="60CAA42F" w:rsidR="009B5D64" w:rsidRPr="00A84647" w:rsidRDefault="009B5D64" w:rsidP="009B5D64">
            <w:pPr>
              <w:spacing w:before="120" w:after="120"/>
              <w:jc w:val="both"/>
              <w:rPr>
                <w:rFonts w:cs="Tahoma"/>
                <w:szCs w:val="18"/>
              </w:rPr>
            </w:pPr>
          </w:p>
        </w:tc>
        <w:tc>
          <w:tcPr>
            <w:tcW w:w="6018" w:type="dxa"/>
            <w:gridSpan w:val="2"/>
            <w:shd w:val="clear" w:color="auto" w:fill="auto"/>
          </w:tcPr>
          <w:p w14:paraId="47FB9070" w14:textId="30524FC2" w:rsidR="009B5D64" w:rsidRPr="00814CF9" w:rsidRDefault="009B5D64" w:rsidP="009B5D64">
            <w:pPr>
              <w:spacing w:before="120" w:after="120"/>
              <w:jc w:val="both"/>
              <w:rPr>
                <w:rFonts w:cs="Tahoma"/>
                <w:szCs w:val="18"/>
              </w:rPr>
            </w:pPr>
          </w:p>
        </w:tc>
      </w:tr>
      <w:tr w:rsidR="009B5D64" w:rsidRPr="00A84647" w14:paraId="7E2F1DD7" w14:textId="77777777" w:rsidTr="00FF3DA5">
        <w:trPr>
          <w:gridAfter w:val="1"/>
          <w:wAfter w:w="147" w:type="dxa"/>
        </w:trPr>
        <w:tc>
          <w:tcPr>
            <w:tcW w:w="3008" w:type="dxa"/>
            <w:shd w:val="clear" w:color="auto" w:fill="auto"/>
          </w:tcPr>
          <w:p w14:paraId="0AFAE13B" w14:textId="5EDA535D" w:rsidR="009B5D64" w:rsidRPr="00A84647" w:rsidRDefault="009B5D64" w:rsidP="009B5D64">
            <w:pPr>
              <w:spacing w:before="120" w:after="120"/>
              <w:jc w:val="both"/>
              <w:rPr>
                <w:rFonts w:cs="Tahoma"/>
                <w:szCs w:val="18"/>
              </w:rPr>
            </w:pPr>
          </w:p>
        </w:tc>
        <w:tc>
          <w:tcPr>
            <w:tcW w:w="2356" w:type="dxa"/>
            <w:shd w:val="clear" w:color="auto" w:fill="auto"/>
          </w:tcPr>
          <w:p w14:paraId="75A3A29B" w14:textId="59098FB1" w:rsidR="009B5D64" w:rsidRPr="00A84647" w:rsidRDefault="009B5D64" w:rsidP="009B5D64">
            <w:pPr>
              <w:spacing w:after="120"/>
              <w:jc w:val="both"/>
              <w:rPr>
                <w:rFonts w:cs="Tahoma"/>
                <w:szCs w:val="18"/>
              </w:rPr>
            </w:pPr>
          </w:p>
        </w:tc>
        <w:tc>
          <w:tcPr>
            <w:tcW w:w="3662" w:type="dxa"/>
            <w:shd w:val="clear" w:color="auto" w:fill="auto"/>
          </w:tcPr>
          <w:p w14:paraId="5B4B98BB" w14:textId="77777777" w:rsidR="009B5D64" w:rsidRPr="00544870" w:rsidRDefault="009B5D64" w:rsidP="009B5D64">
            <w:pPr>
              <w:spacing w:before="120" w:after="120"/>
              <w:jc w:val="both"/>
              <w:rPr>
                <w:rFonts w:cs="Tahoma"/>
                <w:szCs w:val="18"/>
              </w:rPr>
            </w:pPr>
          </w:p>
        </w:tc>
      </w:tr>
    </w:tbl>
    <w:p w14:paraId="7098AE20" w14:textId="77777777" w:rsidR="0058295F" w:rsidRDefault="0058295F" w:rsidP="0058295F">
      <w:pPr>
        <w:spacing w:before="120" w:after="120"/>
        <w:jc w:val="both"/>
        <w:rPr>
          <w:rFonts w:cs="Tahoma"/>
          <w:szCs w:val="18"/>
        </w:rPr>
      </w:pPr>
    </w:p>
    <w:p w14:paraId="2C5CE68E" w14:textId="0234260F" w:rsidR="006C1A1C" w:rsidRDefault="006C1A1C" w:rsidP="0058295F">
      <w:pPr>
        <w:spacing w:before="120" w:after="120"/>
        <w:jc w:val="both"/>
        <w:rPr>
          <w:rFonts w:cs="Tahoma"/>
          <w:szCs w:val="18"/>
        </w:rPr>
      </w:pPr>
    </w:p>
    <w:p w14:paraId="25A4BE3B" w14:textId="3C229A6E" w:rsidR="00F44520" w:rsidRDefault="00F44520" w:rsidP="0058295F">
      <w:pPr>
        <w:spacing w:before="120" w:after="120"/>
        <w:jc w:val="both"/>
        <w:rPr>
          <w:rFonts w:cs="Tahoma"/>
          <w:szCs w:val="18"/>
        </w:rPr>
      </w:pPr>
    </w:p>
    <w:p w14:paraId="168B32E6" w14:textId="77777777" w:rsidR="00F44520" w:rsidRDefault="00F44520" w:rsidP="0058295F">
      <w:pPr>
        <w:spacing w:before="120" w:after="120"/>
        <w:jc w:val="both"/>
        <w:rPr>
          <w:rFonts w:cs="Tahoma"/>
          <w:szCs w:val="18"/>
        </w:rPr>
      </w:pPr>
    </w:p>
    <w:p w14:paraId="5D1ACA44" w14:textId="0560773D" w:rsidR="006A031E" w:rsidRDefault="006A031E" w:rsidP="0058295F">
      <w:pPr>
        <w:spacing w:before="120" w:after="120"/>
        <w:jc w:val="both"/>
        <w:rPr>
          <w:rFonts w:cs="Tahoma"/>
          <w:szCs w:val="18"/>
        </w:rPr>
      </w:pPr>
    </w:p>
    <w:p w14:paraId="60CB0094" w14:textId="77777777" w:rsidR="00955FF8" w:rsidRDefault="00955FF8" w:rsidP="0058295F">
      <w:pPr>
        <w:spacing w:before="120" w:after="120"/>
        <w:jc w:val="both"/>
        <w:rPr>
          <w:rFonts w:cs="Tahoma"/>
          <w:szCs w:val="18"/>
        </w:rPr>
      </w:pPr>
    </w:p>
    <w:p w14:paraId="0305A2D7" w14:textId="77777777" w:rsidR="0058295F" w:rsidRPr="00A84647" w:rsidRDefault="0058295F" w:rsidP="0058295F">
      <w:pPr>
        <w:spacing w:before="120" w:after="120"/>
        <w:jc w:val="both"/>
        <w:rPr>
          <w:rFonts w:cs="Tahoma"/>
          <w:szCs w:val="18"/>
        </w:rPr>
      </w:pPr>
    </w:p>
    <w:p w14:paraId="5AA8C8EA" w14:textId="3F63BD79" w:rsidR="00FC6B6F" w:rsidRPr="00AC793F" w:rsidRDefault="004D36A1" w:rsidP="00946325">
      <w:pPr>
        <w:jc w:val="both"/>
        <w:rPr>
          <w:rFonts w:cs="Tahoma"/>
          <w:szCs w:val="18"/>
        </w:rPr>
      </w:pPr>
      <w:bookmarkStart w:id="337" w:name="_Toc431813471"/>
      <w:bookmarkStart w:id="338" w:name="_Toc461446177"/>
      <w:bookmarkEnd w:id="335"/>
      <w:bookmarkEnd w:id="336"/>
      <w:r w:rsidRPr="00AC793F">
        <w:rPr>
          <w:rFonts w:cs="Tahoma"/>
          <w:szCs w:val="18"/>
        </w:rPr>
        <w:t>.</w:t>
      </w:r>
    </w:p>
    <w:p w14:paraId="44F1C4B1" w14:textId="7334ABB0" w:rsidR="00D32BDF" w:rsidRPr="002273FF" w:rsidRDefault="00FE6C71" w:rsidP="00D32BDF">
      <w:pPr>
        <w:pStyle w:val="Virsraksts1"/>
        <w:spacing w:after="360"/>
        <w:rPr>
          <w:rFonts w:ascii="Tahoma" w:hAnsi="Tahoma" w:cs="Tahoma"/>
          <w:sz w:val="18"/>
          <w:szCs w:val="18"/>
        </w:rPr>
      </w:pPr>
      <w:bookmarkStart w:id="339" w:name="_Toc473130138"/>
      <w:bookmarkStart w:id="340" w:name="_Hlk118197180"/>
      <w:bookmarkEnd w:id="337"/>
      <w:bookmarkEnd w:id="338"/>
      <w:r>
        <w:rPr>
          <w:rFonts w:ascii="Tahoma" w:hAnsi="Tahoma" w:cs="Tahoma"/>
          <w:sz w:val="18"/>
          <w:szCs w:val="18"/>
        </w:rPr>
        <w:lastRenderedPageBreak/>
        <w:t>Starpperioda v</w:t>
      </w:r>
      <w:r w:rsidR="00D32BDF" w:rsidRPr="002273FF">
        <w:rPr>
          <w:rFonts w:ascii="Tahoma" w:hAnsi="Tahoma" w:cs="Tahoma"/>
          <w:sz w:val="18"/>
          <w:szCs w:val="18"/>
        </w:rPr>
        <w:t>adības ziņojums</w:t>
      </w:r>
      <w:bookmarkEnd w:id="339"/>
    </w:p>
    <w:p w14:paraId="0877556D" w14:textId="69D6103A" w:rsidR="00E302E9" w:rsidRPr="002273FF" w:rsidRDefault="00E302E9" w:rsidP="00E302E9">
      <w:pPr>
        <w:spacing w:before="120" w:after="120"/>
        <w:jc w:val="both"/>
        <w:rPr>
          <w:rFonts w:cs="Tahoma"/>
          <w:szCs w:val="18"/>
        </w:rPr>
      </w:pPr>
    </w:p>
    <w:p w14:paraId="6514DDB5" w14:textId="70C62C59" w:rsidR="00E302E9" w:rsidRDefault="00E302E9" w:rsidP="00E302E9">
      <w:pPr>
        <w:spacing w:before="120" w:after="120"/>
        <w:jc w:val="both"/>
        <w:rPr>
          <w:rFonts w:cs="Tahoma"/>
          <w:b/>
          <w:szCs w:val="18"/>
        </w:rPr>
      </w:pPr>
      <w:r w:rsidRPr="002273FF">
        <w:rPr>
          <w:rFonts w:cs="Tahoma"/>
          <w:b/>
          <w:szCs w:val="18"/>
        </w:rPr>
        <w:t>Sabiedrības darbība pārskata periodā</w:t>
      </w:r>
    </w:p>
    <w:p w14:paraId="281F87AE" w14:textId="77777777" w:rsidR="00FE6C71" w:rsidRDefault="00FE6C71" w:rsidP="00FE6C71">
      <w:pPr>
        <w:pStyle w:val="Galvene"/>
        <w:tabs>
          <w:tab w:val="clear" w:pos="4513"/>
          <w:tab w:val="center" w:pos="4537"/>
        </w:tabs>
        <w:jc w:val="center"/>
      </w:pPr>
    </w:p>
    <w:p w14:paraId="3A7779D3" w14:textId="2D044D3D" w:rsidR="00FE6C71" w:rsidRDefault="00FE6C71" w:rsidP="00FE6C71">
      <w:pPr>
        <w:pStyle w:val="Galvene"/>
        <w:tabs>
          <w:tab w:val="clear" w:pos="4513"/>
          <w:tab w:val="center" w:pos="4537"/>
        </w:tabs>
        <w:jc w:val="both"/>
        <w:rPr>
          <w:lang w:val="en-AU"/>
        </w:rPr>
      </w:pPr>
      <w:r w:rsidRPr="00FE6C71">
        <w:rPr>
          <w:lang w:val="en-AU"/>
        </w:rPr>
        <w:t xml:space="preserve">Salīdzinot 2022. gada ar 2021. gada pirmo ceturksni, </w:t>
      </w:r>
      <w:r w:rsidRPr="00FE6C71">
        <w:t xml:space="preserve">palielinājušies ieņēmumi no Nacionālā veselības dienesta (turpmāk NVD) finansētajiem ārstniecības pakalpojumi par 211 851,28 EIRO, jeb 30,98 %, </w:t>
      </w:r>
      <w:r w:rsidRPr="00FE6C71">
        <w:rPr>
          <w:lang w:val="en-AU"/>
        </w:rPr>
        <w:t>un šī perioda beigās sastāda 895 673,58 EIRO. Tas sadalās sekojoši:</w:t>
      </w:r>
    </w:p>
    <w:p w14:paraId="774E6B89" w14:textId="1913E7E6" w:rsidR="00FE6C71" w:rsidRDefault="00FE6C71" w:rsidP="00FE6C71">
      <w:pPr>
        <w:pStyle w:val="Galvene"/>
        <w:tabs>
          <w:tab w:val="clear" w:pos="4513"/>
          <w:tab w:val="center" w:pos="4537"/>
        </w:tabs>
        <w:ind w:left="567" w:hanging="141"/>
        <w:jc w:val="both"/>
        <w:rPr>
          <w:lang w:val="en-AU"/>
        </w:rPr>
      </w:pPr>
      <w:r>
        <w:rPr>
          <w:lang w:val="en-AU"/>
        </w:rPr>
        <w:t xml:space="preserve">- </w:t>
      </w:r>
      <w:r w:rsidRPr="00FE6C71">
        <w:rPr>
          <w:lang w:val="en-AU"/>
        </w:rPr>
        <w:t>Sekundarājam veselības aprūpes pakalpojumiem NVD finansējums palielinājies par 143 173,16 EIRO, jeb 45,38 % un, 2022. gada pirmajā ceturksnī</w:t>
      </w:r>
      <w:r w:rsidRPr="00FE6C71">
        <w:rPr>
          <w:sz w:val="20"/>
          <w:szCs w:val="20"/>
          <w:lang w:val="en-AU"/>
        </w:rPr>
        <w:t xml:space="preserve"> </w:t>
      </w:r>
      <w:r w:rsidRPr="00FE6C71">
        <w:rPr>
          <w:lang w:val="en-AU"/>
        </w:rPr>
        <w:t>sastāda 458 646,06 EIRO. Pakalpojuma palielinājums saistīts ar ar to, ka 2021. gada pirmajā ceturksnī ar Veselības Ministrijas rīkojumu tika slēgts rehabilitācijas dienas stacionārs, ka arī bija liegums veikt operācijas. Šie ierobežojumi bija saistīti ar pandēmijas Covid-19 izplatīšanas ierobežošanu.</w:t>
      </w:r>
    </w:p>
    <w:p w14:paraId="5857007B" w14:textId="2BB428BA" w:rsidR="00FE6C71" w:rsidRDefault="00FE6C71" w:rsidP="00FE6C71">
      <w:pPr>
        <w:pStyle w:val="Galvene"/>
        <w:ind w:left="567" w:hanging="141"/>
        <w:jc w:val="both"/>
      </w:pPr>
      <w:r w:rsidRPr="00F93158">
        <w:t xml:space="preserve">- </w:t>
      </w:r>
      <w:r w:rsidRPr="00FE6C71">
        <w:t>Primārajām veselības aprūpes pakalpojumiem NVD finansējums samazinājies par 1 448,18 EIRO, jeb 4,65 % un, 2022. gada pirmajā ceturksnī sastāda 31 146,57 EIRO. Neskatoties uz to, ka  pakalpojumam veselības aprūpe mājas finansējums ir palielinājies par 663,00 EIRO, zobārstniecības pakalpojumiem finansējums ir samazināts  par 2 111,18 EUR. Tas saistīts ar to, ka 2021. gadā darba attiecības ar SIA “Limbažu slimnīca” izbeidza divi zobārsti.</w:t>
      </w:r>
    </w:p>
    <w:p w14:paraId="316EAF00" w14:textId="398B3250" w:rsidR="00FE6C71" w:rsidRPr="002A25DB" w:rsidRDefault="00FE6C71" w:rsidP="00FE6C71">
      <w:pPr>
        <w:pStyle w:val="Galvene"/>
        <w:ind w:left="567" w:hanging="141"/>
        <w:jc w:val="both"/>
        <w:rPr>
          <w:lang w:val="en-AU"/>
        </w:rPr>
      </w:pPr>
      <w:r w:rsidRPr="00B81B7D">
        <w:t xml:space="preserve">- </w:t>
      </w:r>
      <w:r w:rsidRPr="00FE6C71">
        <w:t xml:space="preserve">Darbs vakcinācijas kabinetā </w:t>
      </w:r>
      <w:r w:rsidRPr="00FE6C71">
        <w:rPr>
          <w:lang w:val="en-AU"/>
        </w:rPr>
        <w:t>palielinājies par 3 150,61 EIRO, jeb 53,70 % un, 2022. gada pirmajā ceturksnī sastāda 9 017,17 EIRO. Tas saistīts ar to, ka 2021. gadā attiecīgajā periodā vakcinācija bija saistīta ar noteikto iedzīvotāju grupu, bet 2022. gadā tā jau bija vispārēja vakcinācija visiem iedzīvotāju grupām</w:t>
      </w:r>
      <w:r>
        <w:rPr>
          <w:lang w:val="en-AU"/>
        </w:rPr>
        <w:t xml:space="preserve">. </w:t>
      </w:r>
    </w:p>
    <w:p w14:paraId="6C6DC533" w14:textId="2C15F4E1" w:rsidR="00FE6C71" w:rsidRPr="007D1175" w:rsidRDefault="00FE6C71" w:rsidP="00FE6C71">
      <w:pPr>
        <w:pStyle w:val="Galvene"/>
        <w:ind w:left="567" w:hanging="141"/>
        <w:jc w:val="both"/>
        <w:rPr>
          <w:lang w:val="en-AU"/>
        </w:rPr>
      </w:pPr>
      <w:r w:rsidRPr="007D1175">
        <w:t xml:space="preserve">- </w:t>
      </w:r>
      <w:r w:rsidRPr="00FE6C71">
        <w:t>Palielinājušies ieņēmumi NVD finansējumam fiksētajiem ambulatorajiem veselības aprūpes  pakalpojumiem par 9 247,77 EUR,</w:t>
      </w:r>
      <w:r w:rsidRPr="00FE6C71">
        <w:rPr>
          <w:sz w:val="20"/>
          <w:szCs w:val="20"/>
          <w:lang w:val="en-AU"/>
        </w:rPr>
        <w:t xml:space="preserve"> </w:t>
      </w:r>
      <w:r w:rsidRPr="00FE6C71">
        <w:rPr>
          <w:lang w:val="en-AU"/>
        </w:rPr>
        <w:t>sasniedzot</w:t>
      </w:r>
      <w:r w:rsidRPr="00FE6C71">
        <w:rPr>
          <w:sz w:val="20"/>
          <w:szCs w:val="20"/>
          <w:lang w:val="en-AU"/>
        </w:rPr>
        <w:t xml:space="preserve"> </w:t>
      </w:r>
      <w:r w:rsidRPr="00FE6C71">
        <w:rPr>
          <w:lang w:val="en-AU"/>
        </w:rPr>
        <w:t>trīs mēnešos  49 437 EIRO, jeb 23,01 %. B</w:t>
      </w:r>
      <w:r w:rsidRPr="00FE6C71">
        <w:t xml:space="preserve">et nekvotētajiem ambulatorajiem veselības aprūpes pakalpojumiem (zaļais koridors, mamogrāfija, profilaktiskā parbaude bērniem) ir samazinājums par 10 426,20 EIRO. Līdz ar to, </w:t>
      </w:r>
      <w:r w:rsidRPr="00FE6C71">
        <w:rPr>
          <w:lang w:val="en-AU"/>
        </w:rPr>
        <w:t xml:space="preserve">kopējā NVD apmaksājamo pakalpojumu programma sastāda perioda beigās 52 235,18 EIRO, kas par 1 178,43 EIRO, jeb 2,26 % mazāk salīdzinājumā ar </w:t>
      </w:r>
      <w:r w:rsidRPr="00FE6C71">
        <w:t xml:space="preserve"> </w:t>
      </w:r>
      <w:r w:rsidRPr="00FE6C71">
        <w:rPr>
          <w:lang w:val="en-AU"/>
        </w:rPr>
        <w:t>2021. gada pirmo ceturksni. Pakalpojuma samazinājums nekvotētiem veselības aprūpes pakalpojumiem saistīts ar nepārtrauktu remontu mamogrāfijas aparātam, ka arī ar to, ka 2021. gadā darba attiecības izbeidza specialiste kura veica bērnu profilaktiskas apskates oftalmoloģijā.</w:t>
      </w:r>
    </w:p>
    <w:p w14:paraId="2A2B1279" w14:textId="61601462" w:rsidR="00FE6C71" w:rsidRDefault="00FE6C71" w:rsidP="00FE6C71">
      <w:pPr>
        <w:pStyle w:val="Galvene"/>
        <w:ind w:left="567" w:hanging="141"/>
        <w:jc w:val="both"/>
      </w:pPr>
      <w:r w:rsidRPr="00562E32">
        <w:t xml:space="preserve">- </w:t>
      </w:r>
      <w:r w:rsidRPr="00FE6C71">
        <w:t>Palielinājies NVD finansējums uzņemšanas nodaļas darbības nodrošināšanai par 7 773 EIRO, jeb 5,38 % trīs mēnešos sasniedzot 152 202 EIRO.</w:t>
      </w:r>
    </w:p>
    <w:p w14:paraId="64DDD3E0" w14:textId="3DFAD9BB" w:rsidR="00FE6C71" w:rsidRDefault="00FE6C71" w:rsidP="00FE6C71">
      <w:pPr>
        <w:pStyle w:val="Galvene"/>
        <w:ind w:left="567" w:hanging="141"/>
        <w:jc w:val="both"/>
        <w:rPr>
          <w:lang w:val="en-AU"/>
        </w:rPr>
      </w:pPr>
      <w:r w:rsidRPr="00065DD3">
        <w:t xml:space="preserve">- </w:t>
      </w:r>
      <w:r w:rsidRPr="00FE6C71">
        <w:t>Pieaugums ir stacionāra veselības aprūpes pakalpojumu nodrošināšanai par 53 252,59 EIRO, jeb 105,00 %, kas kopējā NVD apmaksājamo pakalpojumu struktūrā  sastāda 103 969,29 EIRO. Vērojami liels kāpums saistīts ne tikai ar pakalpojuma tarifa paaugstinājumu, bet arī ar pacientu daudzuma pieaugumu no 187 uz 315 pacientiem, kas attiecīgi saistīts ar to, ka SIA “Limbažu slimnīca” ir iekļauta hospitalizācijas plānā, lai atvieglotu augstāka līmeņa noslogojumu</w:t>
      </w:r>
      <w:r w:rsidRPr="00FE6C71">
        <w:rPr>
          <w:sz w:val="20"/>
          <w:szCs w:val="20"/>
          <w:lang w:val="en-AU"/>
        </w:rPr>
        <w:t xml:space="preserve"> </w:t>
      </w:r>
      <w:r w:rsidRPr="00FE6C71">
        <w:rPr>
          <w:lang w:val="en-AU"/>
        </w:rPr>
        <w:t>stacionārā.</w:t>
      </w:r>
    </w:p>
    <w:p w14:paraId="50EC81D4" w14:textId="4AD71DAA" w:rsidR="00FE6C71" w:rsidRDefault="00FE6C71" w:rsidP="00FE6C71">
      <w:pPr>
        <w:pStyle w:val="Galvene"/>
        <w:ind w:left="567" w:hanging="141"/>
        <w:rPr>
          <w:lang w:val="en-AU"/>
        </w:rPr>
      </w:pPr>
      <w:r w:rsidRPr="00547675">
        <w:t xml:space="preserve">- </w:t>
      </w:r>
      <w:r w:rsidRPr="00FE6C71">
        <w:t xml:space="preserve">Pieauga NVD finansējums par 7 128,53 EIRO, jeb 8,77 %, kas nodrošina ārstēšanu pacientiem, kas saslima Covid-19 infekciju, un, </w:t>
      </w:r>
      <w:r w:rsidRPr="00FE6C71">
        <w:rPr>
          <w:lang w:val="en-AU"/>
        </w:rPr>
        <w:t>2022. gada pirmajā ceturksnī sastāda 88 457,31 EIRO.</w:t>
      </w:r>
    </w:p>
    <w:p w14:paraId="7D131A3F" w14:textId="0C7460BB" w:rsidR="00FE6C71" w:rsidRDefault="00FE6C71" w:rsidP="00FE6C71">
      <w:pPr>
        <w:pStyle w:val="Galvene"/>
        <w:jc w:val="both"/>
      </w:pPr>
      <w:r w:rsidRPr="009430E3">
        <w:t xml:space="preserve">Ieņēmumi no maksas medicīnas pakalpojumu sniegšanas salīdzinājumā ar iepriekšējo pārskata periodu palielinājies  par </w:t>
      </w:r>
      <w:r w:rsidR="009430E3" w:rsidRPr="009430E3">
        <w:t>6577</w:t>
      </w:r>
      <w:r w:rsidRPr="009430E3">
        <w:t xml:space="preserve"> EIRO, jeb</w:t>
      </w:r>
      <w:r w:rsidR="009430E3" w:rsidRPr="009430E3">
        <w:t>13.77</w:t>
      </w:r>
      <w:r w:rsidRPr="009430E3">
        <w:t xml:space="preserve"> % un sastāda </w:t>
      </w:r>
      <w:r w:rsidR="009430E3" w:rsidRPr="009430E3">
        <w:t xml:space="preserve">54335 </w:t>
      </w:r>
      <w:r w:rsidRPr="009430E3">
        <w:t>EIRO. Taja skaitā ietilpst:</w:t>
      </w:r>
    </w:p>
    <w:p w14:paraId="60E2D59A" w14:textId="77777777" w:rsidR="00FE6C71" w:rsidRDefault="00FE6C71" w:rsidP="00FE6C71">
      <w:pPr>
        <w:pStyle w:val="Galvene"/>
        <w:jc w:val="both"/>
        <w:rPr>
          <w:lang w:val="en-AU"/>
        </w:rPr>
      </w:pPr>
      <w:r>
        <w:t xml:space="preserve">-  Ieņēmumi par Sociālas aprūpes pakalpojuma sniegšanu </w:t>
      </w:r>
      <w:r w:rsidRPr="001A5007">
        <w:rPr>
          <w:lang w:val="en-AU"/>
        </w:rPr>
        <w:t xml:space="preserve">2022. gada pirmajā ceturksnī </w:t>
      </w:r>
      <w:r w:rsidRPr="009430E3">
        <w:rPr>
          <w:lang w:val="en-AU"/>
        </w:rPr>
        <w:t>sastāda 33 855,83 EIRO</w:t>
      </w:r>
      <w:r>
        <w:rPr>
          <w:lang w:val="en-AU"/>
        </w:rPr>
        <w:t>, kas par 5 220,20 EIRO, jeb 18,23 % vairāk salīdzinājumā ar attiecīgo periodu 2021. gadā.</w:t>
      </w:r>
    </w:p>
    <w:p w14:paraId="79295261" w14:textId="0D8898C2" w:rsidR="00FE6C71" w:rsidRPr="009430E3" w:rsidRDefault="00FE6C71" w:rsidP="00FE6C71">
      <w:pPr>
        <w:pStyle w:val="Galvene"/>
        <w:jc w:val="both"/>
      </w:pPr>
      <w:r w:rsidRPr="009430E3">
        <w:t xml:space="preserve">-  Ieņēmumi par maksas pakalpojuma sniegšanu zobārstniecības kabinetā sastāda </w:t>
      </w:r>
      <w:r w:rsidR="009430E3" w:rsidRPr="009430E3">
        <w:t xml:space="preserve">17829 </w:t>
      </w:r>
      <w:r w:rsidRPr="009430E3">
        <w:t xml:space="preserve"> EIRO, kas par</w:t>
      </w:r>
      <w:r w:rsidR="009430E3" w:rsidRPr="009430E3">
        <w:t xml:space="preserve"> 4219</w:t>
      </w:r>
      <w:r w:rsidRPr="009430E3">
        <w:t xml:space="preserve"> EIRO, jeb </w:t>
      </w:r>
      <w:r w:rsidR="009430E3" w:rsidRPr="009430E3">
        <w:t xml:space="preserve">19.1 </w:t>
      </w:r>
      <w:r w:rsidRPr="009430E3">
        <w:t xml:space="preserve"> % mazāk salīdzinājumā ar attiecīgo periodu 2021. gadā.</w:t>
      </w:r>
    </w:p>
    <w:p w14:paraId="414A407C" w14:textId="77777777" w:rsidR="00FE6C71" w:rsidRPr="009430E3" w:rsidRDefault="00FE6C71" w:rsidP="00FE6C71">
      <w:pPr>
        <w:pStyle w:val="Galvene"/>
        <w:jc w:val="both"/>
      </w:pPr>
    </w:p>
    <w:p w14:paraId="5898A897" w14:textId="284AB359" w:rsidR="00FE6C71" w:rsidRPr="00F01B1E" w:rsidRDefault="00FE6C71" w:rsidP="00FE6C71">
      <w:pPr>
        <w:pStyle w:val="Galvene"/>
        <w:jc w:val="both"/>
      </w:pPr>
      <w:r w:rsidRPr="00F01B1E">
        <w:t>-  Ieņēmumi par telpu nomu sastāda</w:t>
      </w:r>
      <w:r w:rsidR="00F01B1E" w:rsidRPr="00F01B1E">
        <w:t>10695</w:t>
      </w:r>
      <w:r w:rsidRPr="00F01B1E">
        <w:t xml:space="preserve"> EIRO, kas par</w:t>
      </w:r>
      <w:r w:rsidR="00F01B1E" w:rsidRPr="00F01B1E">
        <w:t xml:space="preserve"> 1516</w:t>
      </w:r>
      <w:r w:rsidRPr="00F01B1E">
        <w:t xml:space="preserve">_ EIRO, jeb </w:t>
      </w:r>
      <w:r w:rsidR="00F01B1E" w:rsidRPr="00F01B1E">
        <w:t>16.5</w:t>
      </w:r>
      <w:r w:rsidRPr="00F01B1E">
        <w:t xml:space="preserve"> % vairākk salīdzinājumā ar attiecīgo periodu 2021. gadā.</w:t>
      </w:r>
    </w:p>
    <w:p w14:paraId="312706E8" w14:textId="41F3B667" w:rsidR="00FE6C71" w:rsidRDefault="00FE6C71" w:rsidP="00FE6C71">
      <w:pPr>
        <w:pStyle w:val="Galvene"/>
        <w:jc w:val="both"/>
      </w:pPr>
      <w:r w:rsidRPr="00F01B1E">
        <w:t>-  Ieņēmumi par medicīniska transporta izmantošanu sastāda</w:t>
      </w:r>
      <w:r w:rsidR="00F01B1E" w:rsidRPr="00F01B1E">
        <w:t xml:space="preserve"> 1097</w:t>
      </w:r>
      <w:r w:rsidRPr="00F01B1E">
        <w:t xml:space="preserve"> EIRO, kas par </w:t>
      </w:r>
      <w:r w:rsidR="00F01B1E" w:rsidRPr="00F01B1E">
        <w:t>323</w:t>
      </w:r>
      <w:r w:rsidRPr="00F01B1E">
        <w:t xml:space="preserve"> EIRO, jeb </w:t>
      </w:r>
      <w:r w:rsidR="00F01B1E" w:rsidRPr="00F01B1E">
        <w:t>41.7</w:t>
      </w:r>
      <w:r w:rsidRPr="00F01B1E">
        <w:t xml:space="preserve"> % vairāk salīdzinājumā ar attiecīgo periodu 2021. gadā.</w:t>
      </w:r>
    </w:p>
    <w:p w14:paraId="087929BD" w14:textId="616D2D80" w:rsidR="00FE6C71" w:rsidRPr="000501D6" w:rsidRDefault="00FE6C71" w:rsidP="00FE6C71">
      <w:pPr>
        <w:pStyle w:val="Galvene"/>
        <w:tabs>
          <w:tab w:val="clear" w:pos="4513"/>
          <w:tab w:val="center" w:pos="4537"/>
        </w:tabs>
        <w:jc w:val="both"/>
      </w:pPr>
      <w:r w:rsidRPr="000501D6">
        <w:t xml:space="preserve">Lielāko izmaksu pieaugumu </w:t>
      </w:r>
      <w:r w:rsidR="003B392C" w:rsidRPr="000501D6">
        <w:t>163150</w:t>
      </w:r>
      <w:r w:rsidRPr="000501D6">
        <w:t xml:space="preserve"> EIRO, jeb </w:t>
      </w:r>
      <w:r w:rsidR="003B392C" w:rsidRPr="000501D6">
        <w:t>28.06</w:t>
      </w:r>
      <w:r w:rsidRPr="000501D6">
        <w:t xml:space="preserve"> % veido darba samaksas un VSAOI pieaugums, jo ar 2022. gada 01. janvāri</w:t>
      </w:r>
      <w:r w:rsidR="003B392C" w:rsidRPr="000501D6">
        <w:t xml:space="preserve"> </w:t>
      </w:r>
      <w:r w:rsidRPr="000501D6">
        <w:t xml:space="preserve"> darbiniekiem tika palielināta </w:t>
      </w:r>
      <w:r w:rsidR="003B392C" w:rsidRPr="000501D6">
        <w:t xml:space="preserve">tarificētā </w:t>
      </w:r>
      <w:r w:rsidRPr="000501D6">
        <w:t xml:space="preserve">darba alga par </w:t>
      </w:r>
      <w:r w:rsidR="003B392C" w:rsidRPr="000501D6">
        <w:t>10</w:t>
      </w:r>
      <w:r w:rsidRPr="000501D6">
        <w:t xml:space="preserve"> % un sastāda </w:t>
      </w:r>
      <w:r w:rsidR="000501D6" w:rsidRPr="000501D6">
        <w:t>744561</w:t>
      </w:r>
      <w:r w:rsidRPr="000501D6">
        <w:t xml:space="preserve"> EIRO. Darba samaksa kopā ar VSAOI pamatdarbības izdevumu struktūrā sastāda </w:t>
      </w:r>
      <w:r w:rsidR="000501D6" w:rsidRPr="000501D6">
        <w:t>75.8</w:t>
      </w:r>
      <w:r w:rsidRPr="000501D6">
        <w:t xml:space="preserve"> %.</w:t>
      </w:r>
    </w:p>
    <w:p w14:paraId="2B42F75A" w14:textId="77777777" w:rsidR="00FE6C71" w:rsidRDefault="00FE6C71" w:rsidP="00FE6C71">
      <w:pPr>
        <w:pStyle w:val="Galvene"/>
        <w:tabs>
          <w:tab w:val="clear" w:pos="4513"/>
          <w:tab w:val="center" w:pos="4537"/>
        </w:tabs>
        <w:jc w:val="both"/>
      </w:pPr>
    </w:p>
    <w:p w14:paraId="09EA6E89" w14:textId="562C4ECC" w:rsidR="00FE6C71" w:rsidRDefault="00FE6C71" w:rsidP="00FE6C71">
      <w:pPr>
        <w:pStyle w:val="Galvene"/>
        <w:tabs>
          <w:tab w:val="clear" w:pos="4513"/>
          <w:tab w:val="center" w:pos="4537"/>
        </w:tabs>
        <w:jc w:val="both"/>
      </w:pPr>
      <w:r>
        <w:t xml:space="preserve">Lai nodrošinātu nepārtrauktas dežūras uzņemšanas nodaļā un stacionāra nodaļā visas virsstundas tiek apmaksātas 100 % apmērā no tarificētas darba algas apmēra. 2022. I. ceturksnī darbiniekiem, kas bija iesaistīti Covid-19 jautājumu risināšanā un seku novēršanā, tiek maksāta ar Veselības Ministrijas rīkojumu noteiktā piemaksa, un, tā sastāda  </w:t>
      </w:r>
      <w:r w:rsidRPr="008F3D9E">
        <w:rPr>
          <w:lang w:val="en-AU"/>
        </w:rPr>
        <w:t>172</w:t>
      </w:r>
      <w:r w:rsidRPr="00192BAA">
        <w:rPr>
          <w:lang w:val="en-AU"/>
        </w:rPr>
        <w:t> </w:t>
      </w:r>
      <w:r w:rsidRPr="008F3D9E">
        <w:rPr>
          <w:lang w:val="en-AU"/>
        </w:rPr>
        <w:t>48</w:t>
      </w:r>
      <w:r w:rsidRPr="00192BAA">
        <w:rPr>
          <w:lang w:val="en-AU"/>
        </w:rPr>
        <w:t>1,70</w:t>
      </w:r>
      <w:r w:rsidRPr="008F3D9E">
        <w:rPr>
          <w:lang w:val="en-AU"/>
        </w:rPr>
        <w:t xml:space="preserve"> EIRO (ieskaitot VSAOI) apmērā, kas ir par</w:t>
      </w:r>
      <w:r w:rsidRPr="00192BAA">
        <w:rPr>
          <w:lang w:val="en-AU"/>
        </w:rPr>
        <w:t xml:space="preserve"> 27 408,62 EIRO, jeb</w:t>
      </w:r>
      <w:r w:rsidRPr="008F3D9E">
        <w:rPr>
          <w:lang w:val="en-AU"/>
        </w:rPr>
        <w:t xml:space="preserve"> 18,89 % vairāk kā 2021. gada pirmajā ceturksnī.</w:t>
      </w:r>
      <w:r>
        <w:t xml:space="preserve"> Šos izdevumus sedz NVD kā papildus finansējumu.</w:t>
      </w:r>
      <w:r w:rsidRPr="00192BAA">
        <w:rPr>
          <w:sz w:val="20"/>
          <w:szCs w:val="20"/>
          <w:lang w:val="en-AU"/>
        </w:rPr>
        <w:t xml:space="preserve"> </w:t>
      </w:r>
    </w:p>
    <w:p w14:paraId="54DA7C6B" w14:textId="7CD7BFEC" w:rsidR="00FE6C71" w:rsidRDefault="00FE6C71" w:rsidP="00FE6C71">
      <w:pPr>
        <w:pStyle w:val="Galvene"/>
        <w:tabs>
          <w:tab w:val="clear" w:pos="4513"/>
          <w:tab w:val="center" w:pos="4537"/>
        </w:tabs>
        <w:jc w:val="both"/>
      </w:pPr>
      <w:r w:rsidRPr="005B23AD">
        <w:t>2022. gada pārskata periodā salīdzinot ar 2021. gada pārskata periodu ir palielinājušās NVD noteiktās manipulāciju un epizožu vērtības, kam proporcionāli palielinās darba samaksa par sniegtajiem ambulatorajiem medicīnas pakalpojumiem.</w:t>
      </w:r>
    </w:p>
    <w:p w14:paraId="2FCDD34E" w14:textId="71B73B29" w:rsidR="00FE6C71" w:rsidRPr="006867FE" w:rsidRDefault="00FE6C71" w:rsidP="00FE6C71">
      <w:pPr>
        <w:pStyle w:val="Galvene"/>
        <w:tabs>
          <w:tab w:val="clear" w:pos="4513"/>
          <w:tab w:val="center" w:pos="4537"/>
        </w:tabs>
        <w:jc w:val="both"/>
      </w:pPr>
      <w:r>
        <w:t xml:space="preserve">2022. gada pirmajā ceturksnī </w:t>
      </w:r>
      <w:r w:rsidRPr="006867FE">
        <w:t>pārējās izmaks</w:t>
      </w:r>
      <w:r w:rsidR="006867FE" w:rsidRPr="006867FE">
        <w:t>a</w:t>
      </w:r>
      <w:r w:rsidRPr="006867FE">
        <w:t xml:space="preserve">s, kuras saistītas ar ārstniecības pakalpojumu nodrošinājumu </w:t>
      </w:r>
      <w:bookmarkStart w:id="341" w:name="_Hlk117612114"/>
      <w:r w:rsidRPr="006867FE">
        <w:t xml:space="preserve">ir </w:t>
      </w:r>
      <w:r w:rsidR="006867FE" w:rsidRPr="006867FE">
        <w:t>mainījušās:</w:t>
      </w:r>
      <w:bookmarkEnd w:id="341"/>
    </w:p>
    <w:p w14:paraId="00ECC7C2" w14:textId="284D2B17" w:rsidR="00FE6C71" w:rsidRPr="006867FE" w:rsidRDefault="00FE6C71" w:rsidP="006867FE">
      <w:pPr>
        <w:pStyle w:val="Galvene"/>
        <w:tabs>
          <w:tab w:val="clear" w:pos="4513"/>
          <w:tab w:val="center" w:pos="4537"/>
        </w:tabs>
        <w:ind w:left="567" w:hanging="141"/>
        <w:jc w:val="both"/>
      </w:pPr>
      <w:r w:rsidRPr="006867FE">
        <w:t xml:space="preserve">- Par 6 807,69 EIRO, jeb 54,44 %  pateicoties Valsts atbalstam </w:t>
      </w:r>
      <w:r w:rsidRPr="006867FE">
        <w:rPr>
          <w:lang w:val="en-AU"/>
        </w:rPr>
        <w:t>samazinātas elektroenerģijas</w:t>
      </w:r>
      <w:r w:rsidRPr="006867FE">
        <w:t xml:space="preserve"> izmaksas, perioda beigās sastādot 5 697,79 EIRO un kopējā izdevumu struktūr</w:t>
      </w:r>
      <w:r w:rsidR="006867FE" w:rsidRPr="006867FE">
        <w:t>ā</w:t>
      </w:r>
      <w:r w:rsidRPr="006867FE">
        <w:t xml:space="preserve"> </w:t>
      </w:r>
      <w:r w:rsidR="00F529B2" w:rsidRPr="006867FE">
        <w:t>0.5</w:t>
      </w:r>
      <w:r w:rsidRPr="006867FE">
        <w:t xml:space="preserve"> %.</w:t>
      </w:r>
    </w:p>
    <w:p w14:paraId="5E3E1294" w14:textId="0B1F8B8D" w:rsidR="00FE6C71" w:rsidRPr="006867FE" w:rsidRDefault="00FE6C71" w:rsidP="006867FE">
      <w:pPr>
        <w:pStyle w:val="Galvene"/>
        <w:tabs>
          <w:tab w:val="clear" w:pos="4513"/>
          <w:tab w:val="center" w:pos="4537"/>
        </w:tabs>
        <w:ind w:left="567" w:hanging="141"/>
      </w:pPr>
      <w:r w:rsidRPr="006867FE">
        <w:t xml:space="preserve">- Par 3 333,12 EIRO, jeb 18,03 % palielinājās siltumenerģijas izmaksas, un, perioda beigās sastāda  21 819,72  EIRO un kopējā izdevumu struktūrā </w:t>
      </w:r>
      <w:r w:rsidR="00F529B2" w:rsidRPr="006867FE">
        <w:t>1.76%.</w:t>
      </w:r>
    </w:p>
    <w:p w14:paraId="7DA04AAA" w14:textId="5F5EA3E6" w:rsidR="00FE6C71" w:rsidRPr="002273FF" w:rsidRDefault="00FE6C71" w:rsidP="00000C09">
      <w:pPr>
        <w:pStyle w:val="Galvene"/>
        <w:ind w:left="567" w:hanging="141"/>
        <w:jc w:val="both"/>
        <w:rPr>
          <w:rFonts w:cs="Tahoma"/>
          <w:b/>
          <w:szCs w:val="18"/>
        </w:rPr>
      </w:pPr>
      <w:r w:rsidRPr="006867FE">
        <w:rPr>
          <w:lang w:val="en-AU"/>
        </w:rPr>
        <w:t xml:space="preserve">- </w:t>
      </w:r>
      <w:r w:rsidRPr="006867FE">
        <w:t xml:space="preserve">Pamatlīdzekļu nolietojuma summa samazinājusies par </w:t>
      </w:r>
      <w:r w:rsidR="006867FE" w:rsidRPr="006867FE">
        <w:t xml:space="preserve">1726 </w:t>
      </w:r>
      <w:r w:rsidRPr="006867FE">
        <w:t xml:space="preserve">EIRO, jeb </w:t>
      </w:r>
      <w:r w:rsidR="006867FE" w:rsidRPr="006867FE">
        <w:t>3.4</w:t>
      </w:r>
      <w:r w:rsidRPr="006867FE">
        <w:t xml:space="preserve"> %, perioda beigās sastādot </w:t>
      </w:r>
      <w:r w:rsidR="006867FE" w:rsidRPr="006867FE">
        <w:t>483232</w:t>
      </w:r>
      <w:r w:rsidRPr="006867FE">
        <w:t xml:space="preserve"> EIRO un kopējā izdevumu struktūrā </w:t>
      </w:r>
      <w:r w:rsidR="006867FE" w:rsidRPr="006867FE">
        <w:t>4.9</w:t>
      </w:r>
      <w:r w:rsidRPr="006867FE">
        <w:t xml:space="preserve"> %.</w:t>
      </w:r>
    </w:p>
    <w:p w14:paraId="6C8A61E9" w14:textId="738CAC6D" w:rsidR="00E302E9" w:rsidRPr="00D015A3" w:rsidRDefault="00E302E9" w:rsidP="00E302E9">
      <w:pPr>
        <w:spacing w:before="120" w:after="120" w:line="240" w:lineRule="exact"/>
        <w:jc w:val="both"/>
        <w:rPr>
          <w:rFonts w:cs="Tahoma"/>
          <w:szCs w:val="18"/>
        </w:rPr>
      </w:pPr>
      <w:r w:rsidRPr="00FA52AB">
        <w:rPr>
          <w:rFonts w:cs="Tahoma"/>
          <w:szCs w:val="18"/>
        </w:rPr>
        <w:t xml:space="preserve">Pārskata </w:t>
      </w:r>
      <w:r>
        <w:rPr>
          <w:rFonts w:cs="Tahoma"/>
          <w:szCs w:val="18"/>
        </w:rPr>
        <w:t>periodu-2022. gada 1. ceturksni-</w:t>
      </w:r>
      <w:r w:rsidRPr="00FA52AB">
        <w:rPr>
          <w:rFonts w:cs="Tahoma"/>
          <w:szCs w:val="18"/>
        </w:rPr>
        <w:t xml:space="preserve"> Sabiedrība  ir noslēgusi </w:t>
      </w:r>
      <w:r w:rsidRPr="006267EE">
        <w:rPr>
          <w:rFonts w:cs="Tahoma"/>
          <w:szCs w:val="18"/>
        </w:rPr>
        <w:t xml:space="preserve">ar </w:t>
      </w:r>
      <w:r>
        <w:rPr>
          <w:rFonts w:cs="Tahoma"/>
          <w:szCs w:val="18"/>
        </w:rPr>
        <w:t>zaudējumiem</w:t>
      </w:r>
      <w:r w:rsidRPr="005D3AA0">
        <w:rPr>
          <w:rFonts w:cs="Tahoma"/>
          <w:color w:val="FF0000"/>
          <w:szCs w:val="18"/>
        </w:rPr>
        <w:t xml:space="preserve"> </w:t>
      </w:r>
      <w:r w:rsidRPr="006267EE">
        <w:rPr>
          <w:rFonts w:cs="Tahoma"/>
          <w:szCs w:val="18"/>
        </w:rPr>
        <w:t xml:space="preserve"> EUR </w:t>
      </w:r>
      <w:r>
        <w:rPr>
          <w:rFonts w:cs="Tahoma"/>
          <w:szCs w:val="18"/>
        </w:rPr>
        <w:t xml:space="preserve">93 630 </w:t>
      </w:r>
      <w:r w:rsidRPr="006267EE">
        <w:rPr>
          <w:rFonts w:cs="Tahoma"/>
          <w:szCs w:val="18"/>
        </w:rPr>
        <w:t>apmērā</w:t>
      </w:r>
      <w:r>
        <w:rPr>
          <w:rFonts w:cs="Tahoma"/>
          <w:szCs w:val="18"/>
        </w:rPr>
        <w:t>.</w:t>
      </w:r>
      <w:r w:rsidRPr="00635F80">
        <w:rPr>
          <w:rFonts w:cs="Tahoma"/>
          <w:color w:val="FF00FF"/>
          <w:szCs w:val="18"/>
        </w:rPr>
        <w:t xml:space="preserve"> </w:t>
      </w:r>
      <w:r w:rsidRPr="00FA52AB">
        <w:rPr>
          <w:rFonts w:cs="Tahoma"/>
          <w:szCs w:val="18"/>
        </w:rPr>
        <w:t>Sabiedrība</w:t>
      </w:r>
      <w:r>
        <w:rPr>
          <w:rFonts w:cs="Tahoma"/>
          <w:szCs w:val="18"/>
        </w:rPr>
        <w:t>s vadība</w:t>
      </w:r>
      <w:r w:rsidRPr="00FA52AB">
        <w:rPr>
          <w:rFonts w:cs="Tahoma"/>
          <w:szCs w:val="18"/>
        </w:rPr>
        <w:t xml:space="preserve"> uzskata, ka esošajā situācijā, </w:t>
      </w:r>
      <w:r w:rsidRPr="008E0989">
        <w:rPr>
          <w:rFonts w:cs="Tahoma"/>
          <w:szCs w:val="18"/>
        </w:rPr>
        <w:t>finansējums veselības aprūpes nozarē ir nepietiekams</w:t>
      </w:r>
      <w:r w:rsidRPr="00D015A3">
        <w:rPr>
          <w:rFonts w:cs="Tahoma"/>
          <w:szCs w:val="18"/>
        </w:rPr>
        <w:t>, bet pieprasījums pēc veselības aprūpes pakalpojuma pieaug, jādara viss iespējamais, lai veselības aprūpes jomā veicinātu tieši maksas pakalpojuma attīstību. Pēc sabiedrības domām, 202</w:t>
      </w:r>
      <w:r>
        <w:rPr>
          <w:rFonts w:cs="Tahoma"/>
          <w:szCs w:val="18"/>
        </w:rPr>
        <w:t>2.</w:t>
      </w:r>
      <w:r w:rsidR="001E730D">
        <w:rPr>
          <w:rFonts w:cs="Tahoma"/>
          <w:szCs w:val="18"/>
        </w:rPr>
        <w:t xml:space="preserve"> </w:t>
      </w:r>
      <w:r w:rsidRPr="00D015A3">
        <w:rPr>
          <w:rFonts w:cs="Tahoma"/>
          <w:szCs w:val="18"/>
        </w:rPr>
        <w:t>gad</w:t>
      </w:r>
      <w:r w:rsidR="004705FF">
        <w:rPr>
          <w:rFonts w:cs="Tahoma"/>
          <w:szCs w:val="18"/>
        </w:rPr>
        <w:t xml:space="preserve">ā turpmākajā periodā </w:t>
      </w:r>
      <w:r>
        <w:rPr>
          <w:rFonts w:cs="Tahoma"/>
          <w:szCs w:val="18"/>
        </w:rPr>
        <w:t xml:space="preserve"> </w:t>
      </w:r>
      <w:r w:rsidRPr="00D015A3">
        <w:rPr>
          <w:rFonts w:cs="Tahoma"/>
          <w:szCs w:val="18"/>
        </w:rPr>
        <w:t>SIA “Limbažu slimnīca” turpinās savu iesākto saimniecisko darbību</w:t>
      </w:r>
      <w:r w:rsidRPr="00D015A3">
        <w:rPr>
          <w:rFonts w:asciiTheme="minorHAnsi" w:hAnsiTheme="minorHAnsi" w:cs="Arial"/>
          <w:sz w:val="20"/>
          <w:szCs w:val="20"/>
        </w:rPr>
        <w:t xml:space="preserve"> </w:t>
      </w:r>
      <w:r w:rsidRPr="00170A13">
        <w:rPr>
          <w:rFonts w:cs="Tahoma"/>
          <w:szCs w:val="18"/>
        </w:rPr>
        <w:t>kā  1. līmeņa stacionārs un arī kā ambulatorā</w:t>
      </w:r>
      <w:r w:rsidRPr="00D015A3">
        <w:rPr>
          <w:rFonts w:cs="Tahoma"/>
          <w:szCs w:val="18"/>
        </w:rPr>
        <w:t xml:space="preserve"> veselības aprūpes pakalpojumu sniegšanas iestāde, kurā sniedz plānveida ambulatoro palīdzību. </w:t>
      </w:r>
    </w:p>
    <w:bookmarkEnd w:id="340"/>
    <w:p w14:paraId="13DB1CD6" w14:textId="77777777" w:rsidR="00E302E9" w:rsidRPr="00D015A3" w:rsidRDefault="00E302E9" w:rsidP="00E302E9">
      <w:pPr>
        <w:spacing w:before="120" w:after="120" w:line="240" w:lineRule="exact"/>
        <w:jc w:val="both"/>
        <w:rPr>
          <w:rFonts w:cs="Tahoma"/>
          <w:szCs w:val="18"/>
        </w:rPr>
      </w:pPr>
      <w:r w:rsidRPr="00D015A3">
        <w:rPr>
          <w:rFonts w:cs="Tahoma"/>
          <w:szCs w:val="18"/>
        </w:rPr>
        <w:t>Slimnīcā diennakts režīmā darbojas pacientu uzņemšanas nodaļa, kur iedzīvotāji var saņemt diennakts neatliekamo medicīnisko palīdzību gan traumu gadījumos, gan arī citos gadījumos, kas saistīti ar akūtām veselības problēmām. SIA  „Limbažu slimnīca” darbojas arī dienas stacionārs ar sekojošām struktūrvienībām:</w:t>
      </w:r>
    </w:p>
    <w:p w14:paraId="57EDF483" w14:textId="77777777" w:rsidR="00E302E9" w:rsidRPr="00D015A3" w:rsidRDefault="00E302E9" w:rsidP="00E302E9">
      <w:pPr>
        <w:pStyle w:val="Sarakstarindkopa"/>
        <w:numPr>
          <w:ilvl w:val="0"/>
          <w:numId w:val="3"/>
        </w:numPr>
        <w:spacing w:before="120" w:after="120" w:line="240" w:lineRule="exact"/>
        <w:jc w:val="both"/>
        <w:rPr>
          <w:rFonts w:cs="Tahoma"/>
          <w:szCs w:val="18"/>
        </w:rPr>
      </w:pPr>
      <w:r w:rsidRPr="00D015A3">
        <w:rPr>
          <w:rFonts w:cs="Tahoma"/>
          <w:szCs w:val="18"/>
        </w:rPr>
        <w:t>neiroloģijas un iekšķīgo slimību nodaļa,</w:t>
      </w:r>
    </w:p>
    <w:p w14:paraId="5ECA3D53" w14:textId="77777777" w:rsidR="00E302E9" w:rsidRPr="00D015A3" w:rsidRDefault="00E302E9" w:rsidP="00E302E9">
      <w:pPr>
        <w:pStyle w:val="Sarakstarindkopa"/>
        <w:numPr>
          <w:ilvl w:val="0"/>
          <w:numId w:val="3"/>
        </w:numPr>
        <w:spacing w:before="120" w:after="120" w:line="240" w:lineRule="exact"/>
        <w:jc w:val="both"/>
        <w:rPr>
          <w:rFonts w:cs="Tahoma"/>
          <w:szCs w:val="18"/>
        </w:rPr>
      </w:pPr>
      <w:r w:rsidRPr="00D015A3">
        <w:rPr>
          <w:rFonts w:cs="Tahoma"/>
          <w:szCs w:val="18"/>
        </w:rPr>
        <w:t>rehabilitācijas nodaļa,</w:t>
      </w:r>
    </w:p>
    <w:p w14:paraId="0F9F7D09" w14:textId="77777777" w:rsidR="00E302E9" w:rsidRPr="00D015A3" w:rsidRDefault="00E302E9" w:rsidP="00E302E9">
      <w:pPr>
        <w:pStyle w:val="Sarakstarindkopa"/>
        <w:numPr>
          <w:ilvl w:val="0"/>
          <w:numId w:val="3"/>
        </w:numPr>
        <w:spacing w:before="120" w:after="120" w:line="240" w:lineRule="exact"/>
        <w:jc w:val="both"/>
        <w:rPr>
          <w:rFonts w:cs="Tahoma"/>
          <w:szCs w:val="18"/>
        </w:rPr>
      </w:pPr>
      <w:r w:rsidRPr="00D015A3">
        <w:rPr>
          <w:rFonts w:cs="Tahoma"/>
          <w:szCs w:val="18"/>
        </w:rPr>
        <w:t>vispārējās ķirurģijas nodaļa,</w:t>
      </w:r>
    </w:p>
    <w:p w14:paraId="748C7A9D" w14:textId="77777777" w:rsidR="00E302E9" w:rsidRPr="00D015A3" w:rsidRDefault="00E302E9" w:rsidP="00E302E9">
      <w:pPr>
        <w:pStyle w:val="Sarakstarindkopa"/>
        <w:numPr>
          <w:ilvl w:val="0"/>
          <w:numId w:val="3"/>
        </w:numPr>
        <w:spacing w:before="120" w:after="120" w:line="240" w:lineRule="exact"/>
        <w:jc w:val="both"/>
        <w:rPr>
          <w:rFonts w:cs="Tahoma"/>
          <w:szCs w:val="18"/>
        </w:rPr>
      </w:pPr>
      <w:r w:rsidRPr="00D015A3">
        <w:rPr>
          <w:rFonts w:cs="Tahoma"/>
          <w:szCs w:val="18"/>
        </w:rPr>
        <w:t>traumatoloģijas nodaļa,</w:t>
      </w:r>
    </w:p>
    <w:p w14:paraId="4C48C9A7" w14:textId="77777777" w:rsidR="00E302E9" w:rsidRPr="00D015A3" w:rsidRDefault="00E302E9" w:rsidP="00E302E9">
      <w:pPr>
        <w:pStyle w:val="Sarakstarindkopa"/>
        <w:numPr>
          <w:ilvl w:val="0"/>
          <w:numId w:val="3"/>
        </w:numPr>
        <w:spacing w:before="120" w:after="120" w:line="240" w:lineRule="exact"/>
        <w:jc w:val="both"/>
        <w:rPr>
          <w:rFonts w:cs="Tahoma"/>
          <w:szCs w:val="18"/>
        </w:rPr>
      </w:pPr>
      <w:r w:rsidRPr="00D015A3">
        <w:rPr>
          <w:rFonts w:cs="Tahoma"/>
          <w:szCs w:val="18"/>
        </w:rPr>
        <w:t>ginekoloģijas nodaļa,</w:t>
      </w:r>
    </w:p>
    <w:p w14:paraId="1F6CE5CF" w14:textId="77777777" w:rsidR="00E302E9" w:rsidRPr="00D015A3" w:rsidRDefault="00E302E9" w:rsidP="00E302E9">
      <w:pPr>
        <w:pStyle w:val="Sarakstarindkopa"/>
        <w:numPr>
          <w:ilvl w:val="0"/>
          <w:numId w:val="3"/>
        </w:numPr>
        <w:spacing w:before="120" w:after="120" w:line="240" w:lineRule="exact"/>
        <w:jc w:val="both"/>
        <w:rPr>
          <w:rFonts w:cs="Tahoma"/>
          <w:szCs w:val="18"/>
        </w:rPr>
      </w:pPr>
      <w:r w:rsidRPr="00D015A3">
        <w:rPr>
          <w:rFonts w:cs="Tahoma"/>
          <w:szCs w:val="18"/>
        </w:rPr>
        <w:t>gastrointesticinālās endoskopijas nodaļa,</w:t>
      </w:r>
    </w:p>
    <w:p w14:paraId="2FB8FD62" w14:textId="74FA94E9" w:rsidR="00E302E9" w:rsidRPr="00D015A3" w:rsidRDefault="00E302E9" w:rsidP="00E302E9">
      <w:pPr>
        <w:pStyle w:val="Sarakstarindkopa"/>
        <w:numPr>
          <w:ilvl w:val="0"/>
          <w:numId w:val="3"/>
        </w:numPr>
        <w:spacing w:before="120" w:after="120" w:line="240" w:lineRule="exact"/>
        <w:jc w:val="both"/>
        <w:rPr>
          <w:rFonts w:cs="Tahoma"/>
          <w:szCs w:val="18"/>
        </w:rPr>
      </w:pPr>
      <w:r w:rsidRPr="00D015A3">
        <w:rPr>
          <w:rFonts w:cs="Tahoma"/>
          <w:szCs w:val="18"/>
        </w:rPr>
        <w:t>terapijas diennakts stacionārs</w:t>
      </w:r>
      <w:r>
        <w:rPr>
          <w:rFonts w:cs="Tahoma"/>
          <w:szCs w:val="18"/>
        </w:rPr>
        <w:t>,</w:t>
      </w:r>
      <w:r w:rsidRPr="00D015A3">
        <w:rPr>
          <w:rFonts w:cs="Tahoma"/>
          <w:szCs w:val="18"/>
        </w:rPr>
        <w:t xml:space="preserve"> hroniskās aprūpes </w:t>
      </w:r>
      <w:r>
        <w:rPr>
          <w:rFonts w:cs="Tahoma"/>
          <w:szCs w:val="18"/>
        </w:rPr>
        <w:t>gultas un aprūpes gultas,</w:t>
      </w:r>
    </w:p>
    <w:p w14:paraId="66DD6181" w14:textId="77777777" w:rsidR="00E302E9" w:rsidRPr="00D015A3" w:rsidRDefault="00E302E9" w:rsidP="00E302E9">
      <w:pPr>
        <w:pStyle w:val="Sarakstarindkopa"/>
        <w:numPr>
          <w:ilvl w:val="0"/>
          <w:numId w:val="3"/>
        </w:numPr>
        <w:spacing w:before="120" w:after="120" w:line="240" w:lineRule="exact"/>
        <w:jc w:val="both"/>
        <w:rPr>
          <w:rFonts w:cs="Tahoma"/>
          <w:szCs w:val="18"/>
        </w:rPr>
      </w:pPr>
      <w:r w:rsidRPr="00D015A3">
        <w:rPr>
          <w:rFonts w:cs="Tahoma"/>
          <w:szCs w:val="18"/>
        </w:rPr>
        <w:t>papildus dienas stacionāra pakalpojumam i</w:t>
      </w:r>
      <w:r>
        <w:rPr>
          <w:rFonts w:cs="Tahoma"/>
          <w:szCs w:val="18"/>
        </w:rPr>
        <w:t xml:space="preserve">r attīstīts maksas pakalpojums - </w:t>
      </w:r>
      <w:r w:rsidRPr="00D015A3">
        <w:rPr>
          <w:rFonts w:cs="Tahoma"/>
          <w:szCs w:val="18"/>
        </w:rPr>
        <w:t xml:space="preserve">īslaicīgā sociālā aprūpe. Pakalpojums vērsts uz pacientiem ar pašaprūpes problēmām, kam nepieciešama diennakts uzraudzība. </w:t>
      </w:r>
      <w:r w:rsidRPr="00D015A3">
        <w:rPr>
          <w:rFonts w:cs="Tahoma"/>
          <w:szCs w:val="18"/>
        </w:rPr>
        <w:lastRenderedPageBreak/>
        <w:t xml:space="preserve">Gadījumos, kad pacientam nepieciešama ilgstoša sociālā aprūpe, tiek veidota sadarbība ar tuviniekiem vai sociālo dienestu- ar mērķi pacientu tālāk novirzīt uz kādu no socālās aprūpes iestādēm vai radīt atbilstošus apstākļus pacienta dzīves vietā. </w:t>
      </w:r>
    </w:p>
    <w:p w14:paraId="55F287F3" w14:textId="77777777" w:rsidR="00E302E9" w:rsidRPr="00ED5B9A" w:rsidRDefault="00E302E9" w:rsidP="00E302E9">
      <w:pPr>
        <w:spacing w:before="120" w:after="120" w:line="240" w:lineRule="exact"/>
        <w:jc w:val="both"/>
        <w:rPr>
          <w:rFonts w:cs="Tahoma"/>
          <w:color w:val="000000" w:themeColor="text1"/>
          <w:szCs w:val="18"/>
        </w:rPr>
      </w:pPr>
      <w:r w:rsidRPr="00ED5B9A">
        <w:rPr>
          <w:rFonts w:cs="Tahoma"/>
          <w:color w:val="000000" w:themeColor="text1"/>
          <w:szCs w:val="18"/>
        </w:rPr>
        <w:t>SIA „Limbažu slimnīca” ambulatorajā nodaļā pacientiem medicīnisko palīdzību sniedz šādi speciālisti: ķirurgs, traumatologs, otolaringologs, okulists, onkologs, neirologs, urologs, dermatovenerologs, rehabilitologs, fizioterapeits, ergoterapeits, masieris, fizikālās terapijas speciālists; pacientiem ir pieejama diabētiskā pēdas aprūpe, cukura diabēta kabinets; kardiologa,  psihiatra,  anesteziologa, pulmonologa, endokrinologa konsultācijas; ir pieejami zobārsta, zobu higiēnista pakalpojumi.</w:t>
      </w:r>
    </w:p>
    <w:p w14:paraId="5456594E" w14:textId="77777777" w:rsidR="00E302E9" w:rsidRPr="00ED5B9A" w:rsidRDefault="00E302E9" w:rsidP="00E302E9">
      <w:pPr>
        <w:spacing w:before="120" w:after="120" w:line="240" w:lineRule="exact"/>
        <w:jc w:val="both"/>
        <w:rPr>
          <w:rFonts w:cs="Tahoma"/>
          <w:color w:val="000000" w:themeColor="text1"/>
          <w:szCs w:val="18"/>
        </w:rPr>
      </w:pPr>
      <w:r w:rsidRPr="00ED5B9A">
        <w:rPr>
          <w:rFonts w:cs="Tahoma"/>
          <w:color w:val="000000" w:themeColor="text1"/>
          <w:szCs w:val="18"/>
        </w:rPr>
        <w:t>Liels uzsvars likts arī uz kvalitatīvas diagnostikas nodrošināšanu. SIA „Limbažu slimnīca” pacientiem ir nodrošinātas sekojošas diagnostikas iespējas: datortomogrāfija, mamogrāfija, rentgendiagnostika, ultrasonogrāfijas doplerogrāfija, endoskopija, sirds asinsvadu funkcionālā diagnostika, kas sevī ietver elektrokardiogrāfiju un ehokardiogrāfiju, holtermonitoringu.</w:t>
      </w:r>
    </w:p>
    <w:p w14:paraId="0FACF1FC" w14:textId="77777777" w:rsidR="00E302E9" w:rsidRPr="00ED5B9A" w:rsidRDefault="00E302E9" w:rsidP="00E302E9">
      <w:pPr>
        <w:spacing w:before="120" w:after="120" w:line="240" w:lineRule="exact"/>
        <w:jc w:val="both"/>
        <w:rPr>
          <w:rFonts w:cs="Tahoma"/>
          <w:iCs/>
          <w:color w:val="000000" w:themeColor="text1"/>
          <w:szCs w:val="18"/>
        </w:rPr>
      </w:pPr>
      <w:r w:rsidRPr="00ED5B9A">
        <w:rPr>
          <w:rFonts w:cs="Tahoma"/>
          <w:color w:val="000000" w:themeColor="text1"/>
          <w:szCs w:val="18"/>
        </w:rPr>
        <w:t>Tā kā dienas stacionāra pacientiem valsts neapmaksā tādus papildus pakalpojumus kā ēdināšanu un nakts izmitināšanu, SIA „Limbažu slimnīca” sniedz iespēju pacientiem saņemt arī šos pakalpojumus par papildus samaksu, tā pacientiem tiek nodrošināta iespēja dienas stacionāra ietvaros saņemt pilnīgu diennakts aprūpi.</w:t>
      </w:r>
    </w:p>
    <w:p w14:paraId="35981927" w14:textId="5A2F193B" w:rsidR="00E302E9" w:rsidRPr="00D015A3" w:rsidRDefault="00E302E9" w:rsidP="00E302E9">
      <w:pPr>
        <w:widowControl w:val="0"/>
        <w:autoSpaceDE w:val="0"/>
        <w:autoSpaceDN w:val="0"/>
        <w:adjustRightInd w:val="0"/>
        <w:spacing w:before="120" w:after="120"/>
        <w:jc w:val="both"/>
        <w:rPr>
          <w:rFonts w:cs="Tahoma"/>
          <w:iCs/>
          <w:szCs w:val="18"/>
        </w:rPr>
      </w:pPr>
      <w:r>
        <w:rPr>
          <w:rFonts w:cs="Tahoma"/>
          <w:iCs/>
          <w:szCs w:val="18"/>
        </w:rPr>
        <w:t>202</w:t>
      </w:r>
      <w:r w:rsidR="00792C5F">
        <w:rPr>
          <w:rFonts w:cs="Tahoma"/>
          <w:iCs/>
          <w:szCs w:val="18"/>
        </w:rPr>
        <w:t>2. gada 1. ceturksnī</w:t>
      </w:r>
      <w:r w:rsidRPr="00D015A3">
        <w:rPr>
          <w:rFonts w:cs="Tahoma"/>
          <w:iCs/>
          <w:szCs w:val="18"/>
        </w:rPr>
        <w:t xml:space="preserve"> Nacionālais veselības dienests finansē</w:t>
      </w:r>
      <w:r>
        <w:rPr>
          <w:rFonts w:cs="Tahoma"/>
          <w:iCs/>
          <w:szCs w:val="18"/>
        </w:rPr>
        <w:t xml:space="preserve"> sniegtos pakalpojumus</w:t>
      </w:r>
      <w:r w:rsidRPr="00D015A3">
        <w:rPr>
          <w:rFonts w:cs="Tahoma"/>
          <w:iCs/>
          <w:szCs w:val="18"/>
        </w:rPr>
        <w:t>:</w:t>
      </w:r>
    </w:p>
    <w:p w14:paraId="2709AF08" w14:textId="77777777" w:rsidR="00E302E9" w:rsidRDefault="00E302E9" w:rsidP="00E302E9">
      <w:pPr>
        <w:widowControl w:val="0"/>
        <w:numPr>
          <w:ilvl w:val="0"/>
          <w:numId w:val="5"/>
        </w:numPr>
        <w:tabs>
          <w:tab w:val="clear" w:pos="1800"/>
        </w:tabs>
        <w:autoSpaceDE w:val="0"/>
        <w:autoSpaceDN w:val="0"/>
        <w:adjustRightInd w:val="0"/>
        <w:spacing w:before="120" w:after="120" w:line="240" w:lineRule="auto"/>
        <w:ind w:left="1134" w:hanging="425"/>
        <w:jc w:val="both"/>
        <w:rPr>
          <w:rFonts w:cs="Tahoma"/>
          <w:iCs/>
          <w:szCs w:val="18"/>
        </w:rPr>
      </w:pPr>
      <w:r w:rsidRPr="00D015A3">
        <w:rPr>
          <w:rFonts w:cs="Tahoma"/>
          <w:iCs/>
          <w:szCs w:val="18"/>
        </w:rPr>
        <w:t>psihiatrijas kabinetā,</w:t>
      </w:r>
    </w:p>
    <w:p w14:paraId="398C92C9" w14:textId="77777777" w:rsidR="00E302E9" w:rsidRPr="00D015A3" w:rsidRDefault="00E302E9" w:rsidP="00E302E9">
      <w:pPr>
        <w:widowControl w:val="0"/>
        <w:numPr>
          <w:ilvl w:val="0"/>
          <w:numId w:val="5"/>
        </w:numPr>
        <w:tabs>
          <w:tab w:val="clear" w:pos="1800"/>
        </w:tabs>
        <w:autoSpaceDE w:val="0"/>
        <w:autoSpaceDN w:val="0"/>
        <w:adjustRightInd w:val="0"/>
        <w:spacing w:before="120" w:after="120" w:line="240" w:lineRule="auto"/>
        <w:ind w:left="1134" w:hanging="425"/>
        <w:jc w:val="both"/>
        <w:rPr>
          <w:rFonts w:cs="Tahoma"/>
          <w:iCs/>
          <w:szCs w:val="18"/>
        </w:rPr>
      </w:pPr>
      <w:r>
        <w:rPr>
          <w:rFonts w:cs="Tahoma"/>
          <w:iCs/>
          <w:szCs w:val="18"/>
        </w:rPr>
        <w:t>psihoemocionālās  veselības uzraudzības un atbalsta kabinetā,</w:t>
      </w:r>
    </w:p>
    <w:p w14:paraId="60E7EA6E" w14:textId="77777777" w:rsidR="00E302E9" w:rsidRDefault="00E302E9" w:rsidP="00E302E9">
      <w:pPr>
        <w:widowControl w:val="0"/>
        <w:numPr>
          <w:ilvl w:val="0"/>
          <w:numId w:val="5"/>
        </w:numPr>
        <w:tabs>
          <w:tab w:val="clear" w:pos="1800"/>
        </w:tabs>
        <w:autoSpaceDE w:val="0"/>
        <w:autoSpaceDN w:val="0"/>
        <w:adjustRightInd w:val="0"/>
        <w:spacing w:before="120" w:after="120" w:line="240" w:lineRule="auto"/>
        <w:ind w:left="1134" w:hanging="425"/>
        <w:jc w:val="both"/>
        <w:rPr>
          <w:rFonts w:cs="Tahoma"/>
          <w:iCs/>
          <w:szCs w:val="18"/>
        </w:rPr>
      </w:pPr>
      <w:r w:rsidRPr="00D015A3">
        <w:rPr>
          <w:rFonts w:cs="Tahoma"/>
          <w:iCs/>
          <w:szCs w:val="18"/>
        </w:rPr>
        <w:t>pneimonologa kabinetā</w:t>
      </w:r>
      <w:r>
        <w:rPr>
          <w:rFonts w:cs="Tahoma"/>
          <w:iCs/>
          <w:szCs w:val="18"/>
        </w:rPr>
        <w:t>,</w:t>
      </w:r>
    </w:p>
    <w:p w14:paraId="3C196DC1" w14:textId="77777777" w:rsidR="00E302E9" w:rsidRDefault="00E302E9" w:rsidP="00E302E9">
      <w:pPr>
        <w:widowControl w:val="0"/>
        <w:numPr>
          <w:ilvl w:val="0"/>
          <w:numId w:val="5"/>
        </w:numPr>
        <w:tabs>
          <w:tab w:val="clear" w:pos="1800"/>
        </w:tabs>
        <w:autoSpaceDE w:val="0"/>
        <w:autoSpaceDN w:val="0"/>
        <w:adjustRightInd w:val="0"/>
        <w:spacing w:before="120" w:after="120" w:line="240" w:lineRule="auto"/>
        <w:ind w:left="1134" w:hanging="425"/>
        <w:jc w:val="both"/>
        <w:rPr>
          <w:rFonts w:cs="Tahoma"/>
          <w:iCs/>
          <w:szCs w:val="18"/>
        </w:rPr>
      </w:pPr>
      <w:r>
        <w:rPr>
          <w:rFonts w:cs="Tahoma"/>
          <w:iCs/>
          <w:szCs w:val="18"/>
        </w:rPr>
        <w:t>diabētiskās pēdas aprūpes kabinetā,</w:t>
      </w:r>
    </w:p>
    <w:p w14:paraId="36945F41" w14:textId="77777777" w:rsidR="00E302E9" w:rsidRDefault="00E302E9" w:rsidP="00E302E9">
      <w:pPr>
        <w:widowControl w:val="0"/>
        <w:numPr>
          <w:ilvl w:val="0"/>
          <w:numId w:val="5"/>
        </w:numPr>
        <w:tabs>
          <w:tab w:val="clear" w:pos="1800"/>
        </w:tabs>
        <w:autoSpaceDE w:val="0"/>
        <w:autoSpaceDN w:val="0"/>
        <w:adjustRightInd w:val="0"/>
        <w:spacing w:before="120" w:after="120" w:line="240" w:lineRule="auto"/>
        <w:ind w:left="1134" w:hanging="425"/>
        <w:jc w:val="both"/>
        <w:rPr>
          <w:rFonts w:cs="Tahoma"/>
          <w:iCs/>
          <w:szCs w:val="18"/>
        </w:rPr>
      </w:pPr>
      <w:r>
        <w:rPr>
          <w:rFonts w:cs="Tahoma"/>
          <w:iCs/>
          <w:szCs w:val="18"/>
        </w:rPr>
        <w:t>diabēta apmācības kabinetā,</w:t>
      </w:r>
    </w:p>
    <w:p w14:paraId="751707CB" w14:textId="77777777" w:rsidR="00E302E9" w:rsidRPr="000503BB" w:rsidRDefault="00E302E9" w:rsidP="00E302E9">
      <w:pPr>
        <w:widowControl w:val="0"/>
        <w:numPr>
          <w:ilvl w:val="0"/>
          <w:numId w:val="5"/>
        </w:numPr>
        <w:tabs>
          <w:tab w:val="clear" w:pos="1800"/>
        </w:tabs>
        <w:autoSpaceDE w:val="0"/>
        <w:autoSpaceDN w:val="0"/>
        <w:adjustRightInd w:val="0"/>
        <w:spacing w:before="120" w:after="120" w:line="240" w:lineRule="auto"/>
        <w:ind w:left="1134" w:hanging="425"/>
        <w:jc w:val="both"/>
        <w:rPr>
          <w:rFonts w:cs="Tahoma"/>
          <w:iCs/>
          <w:color w:val="000000" w:themeColor="text1"/>
          <w:szCs w:val="18"/>
        </w:rPr>
      </w:pPr>
      <w:r w:rsidRPr="000503BB">
        <w:rPr>
          <w:rFonts w:cs="Tahoma"/>
          <w:iCs/>
          <w:color w:val="000000" w:themeColor="text1"/>
          <w:szCs w:val="18"/>
        </w:rPr>
        <w:t>uzņemšanas nodaļā.</w:t>
      </w:r>
    </w:p>
    <w:p w14:paraId="0F92E605" w14:textId="77777777" w:rsidR="00E302E9" w:rsidRDefault="00E302E9" w:rsidP="00E302E9">
      <w:pPr>
        <w:spacing w:before="120" w:after="120"/>
        <w:jc w:val="both"/>
        <w:rPr>
          <w:rFonts w:cs="Tahoma"/>
          <w:szCs w:val="18"/>
        </w:rPr>
      </w:pPr>
      <w:r w:rsidRPr="00405E97">
        <w:rPr>
          <w:rFonts w:cs="Tahoma"/>
          <w:szCs w:val="18"/>
        </w:rPr>
        <w:t xml:space="preserve">Ir optimizēts medikamentu un medicīnas preču izlietojums nodaļās, tomēr izmaksas paaugstina papildus iegādājamo dezinfekcijas un aizsardzības līdzekļu iegāde. Sabiedrībā  ir pilnīgi nokomplektēti ārstu, medicīnas māsu štati. </w:t>
      </w:r>
    </w:p>
    <w:p w14:paraId="34B03D40" w14:textId="650DC696" w:rsidR="00E302E9" w:rsidRDefault="00E302E9" w:rsidP="00E302E9">
      <w:pPr>
        <w:spacing w:before="120" w:after="120"/>
        <w:jc w:val="both"/>
        <w:rPr>
          <w:rFonts w:cs="Tahoma"/>
          <w:b/>
          <w:szCs w:val="18"/>
        </w:rPr>
      </w:pPr>
      <w:r w:rsidRPr="0018759B">
        <w:rPr>
          <w:rFonts w:cs="Tahoma"/>
          <w:b/>
          <w:szCs w:val="18"/>
        </w:rPr>
        <w:t>Sabiedrības darbības finansiālie rezultāti un finansiālais stāvoklis</w:t>
      </w:r>
    </w:p>
    <w:p w14:paraId="0B584EC1" w14:textId="38B0B4A4" w:rsidR="004250A3" w:rsidRDefault="004250A3" w:rsidP="002D2C3B">
      <w:pPr>
        <w:spacing w:after="0" w:line="240" w:lineRule="auto"/>
        <w:jc w:val="both"/>
        <w:rPr>
          <w:rFonts w:cs="Tahoma"/>
          <w:color w:val="000000" w:themeColor="text1"/>
          <w:szCs w:val="18"/>
        </w:rPr>
      </w:pPr>
      <w:r>
        <w:rPr>
          <w:rFonts w:cs="Tahoma"/>
          <w:color w:val="000000" w:themeColor="text1"/>
          <w:szCs w:val="18"/>
        </w:rPr>
        <w:t>2021. gada 22. decembrī noslēgts trīspusējs līgums  starp Latvijas republikas Veselības ministriju, Nacionālo Veselības dienestu un Sabiedrību par  medicīnisko iekārtu un papildaprīkojuma iegādi  EUR 79 500.-</w:t>
      </w:r>
    </w:p>
    <w:p w14:paraId="76849017" w14:textId="2645883A" w:rsidR="002D2C3B" w:rsidRDefault="002D2C3B" w:rsidP="002D2C3B">
      <w:pPr>
        <w:spacing w:after="0" w:line="240" w:lineRule="auto"/>
        <w:jc w:val="both"/>
        <w:rPr>
          <w:rFonts w:cs="Tahoma"/>
          <w:color w:val="000000" w:themeColor="text1"/>
          <w:szCs w:val="18"/>
        </w:rPr>
      </w:pPr>
      <w:r>
        <w:rPr>
          <w:rFonts w:cs="Tahoma"/>
          <w:color w:val="000000" w:themeColor="text1"/>
          <w:szCs w:val="18"/>
        </w:rPr>
        <w:t xml:space="preserve">Šī līguma ietvaros  2022. gada </w:t>
      </w:r>
      <w:r w:rsidR="00690F9B">
        <w:rPr>
          <w:rFonts w:cs="Tahoma"/>
          <w:color w:val="000000" w:themeColor="text1"/>
          <w:szCs w:val="18"/>
        </w:rPr>
        <w:t>1</w:t>
      </w:r>
      <w:r>
        <w:rPr>
          <w:rFonts w:cs="Tahoma"/>
          <w:color w:val="000000" w:themeColor="text1"/>
          <w:szCs w:val="18"/>
        </w:rPr>
        <w:t>. ceturksnī iegādātas medicīnas iekārtas un aprīkojums</w:t>
      </w:r>
      <w:r w:rsidR="004250A3">
        <w:rPr>
          <w:rFonts w:cs="Tahoma"/>
          <w:color w:val="000000" w:themeColor="text1"/>
          <w:szCs w:val="18"/>
        </w:rPr>
        <w:t>:</w:t>
      </w:r>
    </w:p>
    <w:p w14:paraId="46CF6406" w14:textId="3C8770AE" w:rsidR="004250A3" w:rsidRDefault="004250A3" w:rsidP="002D2C3B">
      <w:pPr>
        <w:spacing w:after="0" w:line="240" w:lineRule="auto"/>
        <w:jc w:val="both"/>
        <w:rPr>
          <w:rFonts w:cs="Tahoma"/>
          <w:color w:val="000000" w:themeColor="text1"/>
          <w:szCs w:val="18"/>
        </w:rPr>
      </w:pPr>
      <w:r>
        <w:rPr>
          <w:rFonts w:cs="Tahoma"/>
          <w:color w:val="000000" w:themeColor="text1"/>
          <w:szCs w:val="18"/>
        </w:rPr>
        <w:t>vitālo funkciju monitori</w:t>
      </w:r>
      <w:r w:rsidR="00A4779E">
        <w:rPr>
          <w:rFonts w:cs="Tahoma"/>
          <w:color w:val="000000" w:themeColor="text1"/>
          <w:szCs w:val="18"/>
        </w:rPr>
        <w:t>-4 gb.,</w:t>
      </w:r>
    </w:p>
    <w:p w14:paraId="46A25CD3" w14:textId="1C23E663" w:rsidR="004250A3" w:rsidRDefault="004250A3" w:rsidP="002D2C3B">
      <w:pPr>
        <w:spacing w:after="0" w:line="240" w:lineRule="auto"/>
        <w:jc w:val="both"/>
        <w:rPr>
          <w:rFonts w:cs="Tahoma"/>
          <w:color w:val="000000" w:themeColor="text1"/>
          <w:szCs w:val="18"/>
        </w:rPr>
      </w:pPr>
      <w:r>
        <w:rPr>
          <w:rFonts w:cs="Tahoma"/>
          <w:color w:val="000000" w:themeColor="text1"/>
          <w:szCs w:val="18"/>
        </w:rPr>
        <w:t>perfuzor</w:t>
      </w:r>
      <w:r w:rsidR="00A4779E">
        <w:rPr>
          <w:rFonts w:cs="Tahoma"/>
          <w:color w:val="000000" w:themeColor="text1"/>
          <w:szCs w:val="18"/>
        </w:rPr>
        <w:t>-8 gb.</w:t>
      </w:r>
      <w:r>
        <w:rPr>
          <w:rFonts w:cs="Tahoma"/>
          <w:color w:val="000000" w:themeColor="text1"/>
          <w:szCs w:val="18"/>
        </w:rPr>
        <w:t>,</w:t>
      </w:r>
    </w:p>
    <w:p w14:paraId="242A6960" w14:textId="1AF30B17" w:rsidR="004250A3" w:rsidRDefault="004250A3" w:rsidP="002D2C3B">
      <w:pPr>
        <w:spacing w:after="0" w:line="240" w:lineRule="auto"/>
        <w:jc w:val="both"/>
        <w:rPr>
          <w:rFonts w:cs="Tahoma"/>
          <w:color w:val="000000" w:themeColor="text1"/>
          <w:szCs w:val="18"/>
        </w:rPr>
      </w:pPr>
      <w:r>
        <w:rPr>
          <w:rFonts w:cs="Tahoma"/>
          <w:color w:val="000000" w:themeColor="text1"/>
          <w:szCs w:val="18"/>
        </w:rPr>
        <w:t>skābekļa koncentratori</w:t>
      </w:r>
      <w:r w:rsidR="00A4779E">
        <w:rPr>
          <w:rFonts w:cs="Tahoma"/>
          <w:color w:val="000000" w:themeColor="text1"/>
          <w:szCs w:val="18"/>
        </w:rPr>
        <w:t>-10 gb.</w:t>
      </w:r>
      <w:r>
        <w:rPr>
          <w:rFonts w:cs="Tahoma"/>
          <w:color w:val="000000" w:themeColor="text1"/>
          <w:szCs w:val="18"/>
        </w:rPr>
        <w:t>,</w:t>
      </w:r>
    </w:p>
    <w:p w14:paraId="692C073A" w14:textId="722D6192" w:rsidR="004250A3" w:rsidRDefault="004250A3" w:rsidP="002D2C3B">
      <w:pPr>
        <w:spacing w:after="0" w:line="240" w:lineRule="auto"/>
        <w:jc w:val="both"/>
        <w:rPr>
          <w:rFonts w:cs="Tahoma"/>
          <w:color w:val="000000" w:themeColor="text1"/>
          <w:szCs w:val="18"/>
        </w:rPr>
      </w:pPr>
      <w:r>
        <w:rPr>
          <w:rFonts w:cs="Tahoma"/>
          <w:color w:val="000000" w:themeColor="text1"/>
          <w:szCs w:val="18"/>
        </w:rPr>
        <w:t>UV lampas gaisa attīrīšana</w:t>
      </w:r>
      <w:r w:rsidR="00A4779E">
        <w:rPr>
          <w:rFonts w:cs="Tahoma"/>
          <w:color w:val="000000" w:themeColor="text1"/>
          <w:szCs w:val="18"/>
        </w:rPr>
        <w:t>-6gb.</w:t>
      </w:r>
      <w:r>
        <w:rPr>
          <w:rFonts w:cs="Tahoma"/>
          <w:color w:val="000000" w:themeColor="text1"/>
          <w:szCs w:val="18"/>
        </w:rPr>
        <w:t>,</w:t>
      </w:r>
    </w:p>
    <w:p w14:paraId="2AF48BF3" w14:textId="50D89336" w:rsidR="004250A3" w:rsidRDefault="004250A3" w:rsidP="002D2C3B">
      <w:pPr>
        <w:spacing w:after="0" w:line="240" w:lineRule="auto"/>
        <w:jc w:val="both"/>
        <w:rPr>
          <w:rFonts w:cs="Tahoma"/>
          <w:color w:val="000000" w:themeColor="text1"/>
          <w:szCs w:val="18"/>
        </w:rPr>
      </w:pPr>
      <w:r>
        <w:rPr>
          <w:rFonts w:cs="Tahoma"/>
          <w:color w:val="000000" w:themeColor="text1"/>
          <w:szCs w:val="18"/>
        </w:rPr>
        <w:t>procedūru galdiņi</w:t>
      </w:r>
      <w:r w:rsidR="00A4779E">
        <w:rPr>
          <w:rFonts w:cs="Tahoma"/>
          <w:color w:val="000000" w:themeColor="text1"/>
          <w:szCs w:val="18"/>
        </w:rPr>
        <w:t>-10 gb.</w:t>
      </w:r>
      <w:r>
        <w:rPr>
          <w:rFonts w:cs="Tahoma"/>
          <w:color w:val="000000" w:themeColor="text1"/>
          <w:szCs w:val="18"/>
        </w:rPr>
        <w:t>,</w:t>
      </w:r>
    </w:p>
    <w:p w14:paraId="24B2E984" w14:textId="3741EA30" w:rsidR="004250A3" w:rsidRDefault="004250A3" w:rsidP="002D2C3B">
      <w:pPr>
        <w:spacing w:after="0" w:line="240" w:lineRule="auto"/>
        <w:jc w:val="both"/>
        <w:rPr>
          <w:rFonts w:cs="Tahoma"/>
          <w:color w:val="000000" w:themeColor="text1"/>
          <w:szCs w:val="18"/>
        </w:rPr>
      </w:pPr>
      <w:r>
        <w:rPr>
          <w:rFonts w:cs="Tahoma"/>
          <w:color w:val="000000" w:themeColor="text1"/>
          <w:szCs w:val="18"/>
        </w:rPr>
        <w:t>pārvietošanās palīgierīces</w:t>
      </w:r>
      <w:r w:rsidR="00A4779E">
        <w:rPr>
          <w:rFonts w:cs="Tahoma"/>
          <w:color w:val="000000" w:themeColor="text1"/>
          <w:szCs w:val="18"/>
        </w:rPr>
        <w:t>-2gb.</w:t>
      </w:r>
      <w:r>
        <w:rPr>
          <w:rFonts w:cs="Tahoma"/>
          <w:color w:val="000000" w:themeColor="text1"/>
          <w:szCs w:val="18"/>
        </w:rPr>
        <w:t>,</w:t>
      </w:r>
    </w:p>
    <w:p w14:paraId="40A51BDE" w14:textId="44EBD8A8" w:rsidR="004250A3" w:rsidRDefault="004250A3" w:rsidP="002D2C3B">
      <w:pPr>
        <w:spacing w:after="0" w:line="240" w:lineRule="auto"/>
        <w:jc w:val="both"/>
        <w:rPr>
          <w:rFonts w:cs="Tahoma"/>
          <w:color w:val="000000" w:themeColor="text1"/>
          <w:szCs w:val="18"/>
        </w:rPr>
      </w:pPr>
      <w:r>
        <w:rPr>
          <w:rFonts w:cs="Tahoma"/>
          <w:color w:val="000000" w:themeColor="text1"/>
          <w:szCs w:val="18"/>
        </w:rPr>
        <w:t>podkrēsli</w:t>
      </w:r>
      <w:r w:rsidR="00A4779E">
        <w:rPr>
          <w:rFonts w:cs="Tahoma"/>
          <w:color w:val="000000" w:themeColor="text1"/>
          <w:szCs w:val="18"/>
        </w:rPr>
        <w:t>-15gb.</w:t>
      </w:r>
      <w:r>
        <w:rPr>
          <w:rFonts w:cs="Tahoma"/>
          <w:color w:val="000000" w:themeColor="text1"/>
          <w:szCs w:val="18"/>
        </w:rPr>
        <w:t>,</w:t>
      </w:r>
    </w:p>
    <w:p w14:paraId="024979DB" w14:textId="2699FC25" w:rsidR="004250A3" w:rsidRDefault="004250A3" w:rsidP="002D2C3B">
      <w:pPr>
        <w:spacing w:after="0" w:line="240" w:lineRule="auto"/>
        <w:jc w:val="both"/>
        <w:rPr>
          <w:rFonts w:cs="Tahoma"/>
          <w:color w:val="000000" w:themeColor="text1"/>
          <w:szCs w:val="18"/>
        </w:rPr>
      </w:pPr>
      <w:r>
        <w:rPr>
          <w:rFonts w:cs="Tahoma"/>
          <w:color w:val="000000" w:themeColor="text1"/>
          <w:szCs w:val="18"/>
        </w:rPr>
        <w:t>pretizgulējumu matrači</w:t>
      </w:r>
      <w:r w:rsidR="00A4779E">
        <w:rPr>
          <w:rFonts w:cs="Tahoma"/>
          <w:color w:val="000000" w:themeColor="text1"/>
          <w:szCs w:val="18"/>
        </w:rPr>
        <w:t>-15 gb.</w:t>
      </w:r>
      <w:r>
        <w:rPr>
          <w:rFonts w:cs="Tahoma"/>
          <w:color w:val="000000" w:themeColor="text1"/>
          <w:szCs w:val="18"/>
        </w:rPr>
        <w:t>,</w:t>
      </w:r>
    </w:p>
    <w:p w14:paraId="5CFA66FA" w14:textId="4A9BB84E" w:rsidR="00C42E23" w:rsidRDefault="004250A3" w:rsidP="002D2C3B">
      <w:pPr>
        <w:spacing w:after="0" w:line="240" w:lineRule="auto"/>
        <w:jc w:val="both"/>
        <w:rPr>
          <w:rFonts w:cs="Tahoma"/>
          <w:color w:val="000000" w:themeColor="text1"/>
          <w:szCs w:val="18"/>
        </w:rPr>
      </w:pPr>
      <w:r>
        <w:rPr>
          <w:rFonts w:cs="Tahoma"/>
          <w:color w:val="000000" w:themeColor="text1"/>
          <w:szCs w:val="18"/>
        </w:rPr>
        <w:t>aizslietņi</w:t>
      </w:r>
      <w:r w:rsidR="00A4779E">
        <w:rPr>
          <w:rFonts w:cs="Tahoma"/>
          <w:color w:val="000000" w:themeColor="text1"/>
          <w:szCs w:val="18"/>
        </w:rPr>
        <w:t>-10 gb.</w:t>
      </w:r>
      <w:r>
        <w:rPr>
          <w:rFonts w:cs="Tahoma"/>
          <w:color w:val="000000" w:themeColor="text1"/>
          <w:szCs w:val="18"/>
        </w:rPr>
        <w:t>.</w:t>
      </w:r>
    </w:p>
    <w:p w14:paraId="1E2E7C97" w14:textId="77777777" w:rsidR="00B56D3C" w:rsidRDefault="00B56D3C" w:rsidP="00B56D3C">
      <w:pPr>
        <w:spacing w:after="0" w:line="240" w:lineRule="auto"/>
        <w:jc w:val="both"/>
        <w:rPr>
          <w:rFonts w:cs="Tahoma"/>
          <w:color w:val="000000" w:themeColor="text1"/>
          <w:szCs w:val="18"/>
        </w:rPr>
      </w:pPr>
      <w:r>
        <w:rPr>
          <w:rFonts w:cs="Tahoma"/>
          <w:color w:val="000000" w:themeColor="text1"/>
          <w:szCs w:val="18"/>
        </w:rPr>
        <w:t>2022. gada 1. ceturksnī  par Sabiedrības līdzekļiem iegādāts aprīkojums:</w:t>
      </w:r>
    </w:p>
    <w:p w14:paraId="786E5F21" w14:textId="77777777" w:rsidR="00B56D3C" w:rsidRDefault="00B56D3C" w:rsidP="00B56D3C">
      <w:pPr>
        <w:spacing w:after="0" w:line="240" w:lineRule="auto"/>
        <w:jc w:val="both"/>
        <w:rPr>
          <w:rFonts w:cs="Tahoma"/>
          <w:color w:val="000000" w:themeColor="text1"/>
          <w:szCs w:val="18"/>
        </w:rPr>
      </w:pPr>
      <w:r>
        <w:rPr>
          <w:rFonts w:cs="Tahoma"/>
          <w:color w:val="000000" w:themeColor="text1"/>
          <w:szCs w:val="18"/>
        </w:rPr>
        <w:t>no SIA Arbor Medical par EUR 2964.50  divas medicīniskās kušetes,</w:t>
      </w:r>
    </w:p>
    <w:p w14:paraId="3D44709F" w14:textId="77777777" w:rsidR="00B56D3C" w:rsidRDefault="00B56D3C" w:rsidP="00B56D3C">
      <w:pPr>
        <w:spacing w:after="0" w:line="240" w:lineRule="auto"/>
        <w:jc w:val="both"/>
        <w:rPr>
          <w:rFonts w:cs="Tahoma"/>
          <w:color w:val="000000" w:themeColor="text1"/>
          <w:szCs w:val="18"/>
        </w:rPr>
      </w:pPr>
      <w:r>
        <w:rPr>
          <w:rFonts w:cs="Tahoma"/>
          <w:color w:val="000000" w:themeColor="text1"/>
          <w:szCs w:val="18"/>
        </w:rPr>
        <w:t>no SIA Okaj par EUR 6323.53 trīs kondicionieri,</w:t>
      </w:r>
    </w:p>
    <w:p w14:paraId="05A15284" w14:textId="77777777" w:rsidR="00B56D3C" w:rsidRDefault="00B56D3C" w:rsidP="00B56D3C">
      <w:pPr>
        <w:spacing w:after="0" w:line="240" w:lineRule="auto"/>
        <w:jc w:val="both"/>
        <w:rPr>
          <w:rFonts w:cs="Tahoma"/>
          <w:color w:val="000000" w:themeColor="text1"/>
          <w:szCs w:val="18"/>
        </w:rPr>
      </w:pPr>
      <w:r>
        <w:rPr>
          <w:rFonts w:cs="Tahoma"/>
          <w:color w:val="000000" w:themeColor="text1"/>
          <w:szCs w:val="18"/>
        </w:rPr>
        <w:t>no SIA Arbor Medical par EUR 2662.00   Leardel sūknis</w:t>
      </w:r>
    </w:p>
    <w:p w14:paraId="18E741C3" w14:textId="77777777" w:rsidR="00B56D3C" w:rsidRDefault="00B56D3C" w:rsidP="00B56D3C">
      <w:pPr>
        <w:spacing w:after="0" w:line="240" w:lineRule="auto"/>
        <w:jc w:val="both"/>
        <w:rPr>
          <w:rFonts w:cs="Tahoma"/>
          <w:color w:val="000000" w:themeColor="text1"/>
          <w:szCs w:val="18"/>
        </w:rPr>
      </w:pPr>
      <w:r>
        <w:rPr>
          <w:rFonts w:cs="Tahoma"/>
          <w:color w:val="000000" w:themeColor="text1"/>
          <w:szCs w:val="18"/>
        </w:rPr>
        <w:t>no SIA Artropulss par EUR 4470.35 šeiveris</w:t>
      </w:r>
    </w:p>
    <w:p w14:paraId="45CB2A9C" w14:textId="77777777" w:rsidR="00B56D3C" w:rsidRDefault="00B56D3C" w:rsidP="002D2C3B">
      <w:pPr>
        <w:spacing w:after="0" w:line="240" w:lineRule="auto"/>
        <w:jc w:val="both"/>
        <w:rPr>
          <w:rFonts w:cs="Tahoma"/>
          <w:color w:val="000000" w:themeColor="text1"/>
          <w:szCs w:val="18"/>
        </w:rPr>
      </w:pPr>
    </w:p>
    <w:p w14:paraId="6BE31EA7" w14:textId="031BEF7F" w:rsidR="00690F9B" w:rsidRDefault="00690F9B" w:rsidP="00E302E9">
      <w:pPr>
        <w:spacing w:before="120" w:after="120"/>
        <w:jc w:val="both"/>
        <w:rPr>
          <w:rFonts w:cs="Tahoma"/>
          <w:b/>
          <w:szCs w:val="18"/>
        </w:rPr>
      </w:pPr>
    </w:p>
    <w:p w14:paraId="4A0F12D0" w14:textId="77777777" w:rsidR="003B4DAC" w:rsidRPr="003B4DAC" w:rsidRDefault="003B4DAC" w:rsidP="003B4DAC">
      <w:pPr>
        <w:spacing w:before="120" w:after="120"/>
        <w:jc w:val="both"/>
        <w:rPr>
          <w:rFonts w:cs="Tahoma"/>
          <w:b/>
          <w:bCs/>
          <w:szCs w:val="18"/>
        </w:rPr>
      </w:pPr>
      <w:r w:rsidRPr="003B4DAC">
        <w:rPr>
          <w:rFonts w:cs="Tahoma"/>
          <w:b/>
          <w:bCs/>
          <w:szCs w:val="18"/>
        </w:rPr>
        <w:t>Finansiālo rezultātu rādītāji:</w:t>
      </w:r>
    </w:p>
    <w:p w14:paraId="3F518DAE" w14:textId="77777777" w:rsidR="003B4DAC" w:rsidRPr="0018759B" w:rsidRDefault="003B4DAC" w:rsidP="003B4DAC">
      <w:pPr>
        <w:spacing w:before="120" w:after="120"/>
        <w:jc w:val="both"/>
        <w:rPr>
          <w:rFonts w:cs="Tahoma"/>
          <w:szCs w:val="18"/>
        </w:rPr>
      </w:pPr>
      <w:r w:rsidRPr="0018759B">
        <w:rPr>
          <w:rFonts w:cs="Tahoma"/>
          <w:szCs w:val="18"/>
        </w:rPr>
        <w:t>Veicot finansiālo rezultātu aprēķinu īstermiņa un ilgtermiņa saistībās netiek iekļauti nākamo periodu ieņēmumi.</w:t>
      </w:r>
    </w:p>
    <w:p w14:paraId="36B51711" w14:textId="77777777" w:rsidR="003B4DAC" w:rsidRPr="0018759B" w:rsidRDefault="003B4DAC" w:rsidP="003B4DAC">
      <w:pPr>
        <w:spacing w:before="120" w:after="120"/>
        <w:jc w:val="both"/>
        <w:rPr>
          <w:rFonts w:cs="Tahoma"/>
          <w:b/>
          <w:szCs w:val="18"/>
        </w:rPr>
      </w:pPr>
      <w:r w:rsidRPr="0018759B">
        <w:rPr>
          <w:rFonts w:cs="Tahoma"/>
          <w:b/>
          <w:szCs w:val="18"/>
        </w:rPr>
        <w:t>Likviditāte (maksātspēja, t.i., spēja laikus un pilnīgi dzēst savas īstermiņa saistības):</w:t>
      </w:r>
    </w:p>
    <w:tbl>
      <w:tblPr>
        <w:tblW w:w="0" w:type="auto"/>
        <w:tblLook w:val="04A0" w:firstRow="1" w:lastRow="0" w:firstColumn="1" w:lastColumn="0" w:noHBand="0" w:noVBand="1"/>
      </w:tblPr>
      <w:tblGrid>
        <w:gridCol w:w="2282"/>
        <w:gridCol w:w="4504"/>
        <w:gridCol w:w="2240"/>
      </w:tblGrid>
      <w:tr w:rsidR="003B4DAC" w:rsidRPr="0018759B" w14:paraId="2AF930C6" w14:textId="77777777" w:rsidTr="00166480">
        <w:tc>
          <w:tcPr>
            <w:tcW w:w="2415" w:type="dxa"/>
            <w:tcBorders>
              <w:bottom w:val="single" w:sz="4" w:space="0" w:color="auto"/>
            </w:tcBorders>
            <w:shd w:val="clear" w:color="auto" w:fill="auto"/>
          </w:tcPr>
          <w:p w14:paraId="5C42AC42" w14:textId="77777777" w:rsidR="003B4DAC" w:rsidRPr="0018759B" w:rsidRDefault="003B4DAC" w:rsidP="00166480">
            <w:pPr>
              <w:spacing w:before="120" w:after="120"/>
              <w:rPr>
                <w:rFonts w:cs="Tahoma"/>
                <w:szCs w:val="18"/>
              </w:rPr>
            </w:pPr>
            <w:r w:rsidRPr="0018759B">
              <w:rPr>
                <w:rFonts w:cs="Tahoma"/>
                <w:szCs w:val="18"/>
              </w:rPr>
              <w:lastRenderedPageBreak/>
              <w:t>Likviditātes kopējais koeficients</w:t>
            </w:r>
          </w:p>
        </w:tc>
        <w:tc>
          <w:tcPr>
            <w:tcW w:w="4446" w:type="dxa"/>
            <w:tcBorders>
              <w:bottom w:val="single" w:sz="4" w:space="0" w:color="auto"/>
            </w:tcBorders>
            <w:shd w:val="clear" w:color="auto" w:fill="auto"/>
          </w:tcPr>
          <w:p w14:paraId="04D74BF4" w14:textId="77777777" w:rsidR="003B4DAC" w:rsidRPr="00544870" w:rsidRDefault="00000000" w:rsidP="00166480">
            <w:pPr>
              <w:jc w:val="center"/>
              <w:rPr>
                <w:rFonts w:cs="Tahoma"/>
                <w:szCs w:val="18"/>
              </w:rPr>
            </w:pPr>
            <m:oMathPara>
              <m:oMath>
                <m:f>
                  <m:fPr>
                    <m:type m:val="noBar"/>
                    <m:ctrlPr>
                      <w:rPr>
                        <w:rFonts w:ascii="Cambria Math" w:hAnsi="Cambria Math" w:cs="Tahoma"/>
                        <w:szCs w:val="18"/>
                      </w:rPr>
                    </m:ctrlPr>
                  </m:fPr>
                  <m:num>
                    <m:r>
                      <m:rPr>
                        <m:sty m:val="p"/>
                      </m:rPr>
                      <w:rPr>
                        <w:rFonts w:ascii="Cambria Math" w:hAnsi="Cambria Math" w:cs="Tahoma"/>
                        <w:szCs w:val="18"/>
                      </w:rPr>
                      <m:t xml:space="preserve">Apgrozāmie līdzekļi </m:t>
                    </m:r>
                  </m:num>
                  <m:den>
                    <m:r>
                      <m:rPr>
                        <m:sty m:val="p"/>
                      </m:rPr>
                      <w:rPr>
                        <w:rFonts w:ascii="Cambria Math" w:hAnsi="Cambria Math" w:cs="Tahoma"/>
                        <w:szCs w:val="18"/>
                      </w:rPr>
                      <m:t xml:space="preserve">Īstermiņa saistības-nākamo periodu ieņēmumi  </m:t>
                    </m:r>
                  </m:den>
                </m:f>
                <m:r>
                  <w:rPr>
                    <w:rFonts w:ascii="Cambria Math" w:hAnsi="Cambria Math" w:cs="Tahoma"/>
                    <w:szCs w:val="18"/>
                  </w:rPr>
                  <m:t>1.28</m:t>
                </m:r>
              </m:oMath>
            </m:oMathPara>
          </w:p>
          <w:p w14:paraId="5289794D" w14:textId="77777777" w:rsidR="003B4DAC" w:rsidRPr="00544870" w:rsidRDefault="003B4DAC" w:rsidP="00166480">
            <w:pPr>
              <w:jc w:val="center"/>
              <w:rPr>
                <w:rFonts w:cs="Tahoma"/>
                <w:b/>
                <w:szCs w:val="18"/>
              </w:rPr>
            </w:pPr>
          </w:p>
        </w:tc>
        <w:tc>
          <w:tcPr>
            <w:tcW w:w="2381" w:type="dxa"/>
            <w:shd w:val="clear" w:color="auto" w:fill="auto"/>
          </w:tcPr>
          <w:p w14:paraId="7EFF5882" w14:textId="77777777" w:rsidR="003B4DAC" w:rsidRPr="0018759B" w:rsidRDefault="003B4DAC" w:rsidP="00166480">
            <w:pPr>
              <w:spacing w:before="120" w:after="120"/>
              <w:rPr>
                <w:rFonts w:cs="Tahoma"/>
                <w:szCs w:val="18"/>
              </w:rPr>
            </w:pPr>
            <w:r w:rsidRPr="0018759B">
              <w:rPr>
                <w:rFonts w:cs="Tahoma"/>
                <w:szCs w:val="18"/>
              </w:rPr>
              <w:t>(koeficienta ieteicamā robeža 1-2).</w:t>
            </w:r>
          </w:p>
          <w:p w14:paraId="24F375C1" w14:textId="77777777" w:rsidR="003B4DAC" w:rsidRPr="0018759B" w:rsidRDefault="003B4DAC" w:rsidP="00166480">
            <w:pPr>
              <w:spacing w:before="120" w:after="120"/>
              <w:rPr>
                <w:rFonts w:cs="Tahoma"/>
                <w:szCs w:val="18"/>
              </w:rPr>
            </w:pPr>
          </w:p>
        </w:tc>
      </w:tr>
      <w:tr w:rsidR="003B4DAC" w:rsidRPr="0018759B" w14:paraId="6497085A" w14:textId="77777777" w:rsidTr="00166480">
        <w:tc>
          <w:tcPr>
            <w:tcW w:w="2415" w:type="dxa"/>
            <w:tcBorders>
              <w:top w:val="single" w:sz="4" w:space="0" w:color="auto"/>
              <w:bottom w:val="single" w:sz="4" w:space="0" w:color="auto"/>
            </w:tcBorders>
            <w:shd w:val="clear" w:color="auto" w:fill="auto"/>
          </w:tcPr>
          <w:p w14:paraId="34D0F698" w14:textId="77777777" w:rsidR="003B4DAC" w:rsidRPr="0018759B" w:rsidRDefault="003B4DAC" w:rsidP="00166480">
            <w:pPr>
              <w:spacing w:before="120" w:after="120"/>
              <w:rPr>
                <w:rFonts w:cs="Tahoma"/>
                <w:szCs w:val="18"/>
              </w:rPr>
            </w:pPr>
            <w:r w:rsidRPr="0018759B">
              <w:rPr>
                <w:rFonts w:cs="Tahoma"/>
                <w:szCs w:val="18"/>
              </w:rPr>
              <w:t>Likviditātes starpseguma koeficients</w:t>
            </w:r>
          </w:p>
        </w:tc>
        <w:tc>
          <w:tcPr>
            <w:tcW w:w="4446" w:type="dxa"/>
            <w:tcBorders>
              <w:top w:val="single" w:sz="4" w:space="0" w:color="auto"/>
              <w:bottom w:val="single" w:sz="4" w:space="0" w:color="auto"/>
            </w:tcBorders>
            <w:shd w:val="clear" w:color="auto" w:fill="auto"/>
            <w:vAlign w:val="center"/>
          </w:tcPr>
          <w:p w14:paraId="4F90F6D1" w14:textId="77777777" w:rsidR="003B4DAC" w:rsidRPr="00544870" w:rsidRDefault="00000000" w:rsidP="00166480">
            <w:pPr>
              <w:rPr>
                <w:rFonts w:cs="Tahoma"/>
                <w:szCs w:val="18"/>
              </w:rPr>
            </w:pPr>
            <m:oMathPara>
              <m:oMath>
                <m:f>
                  <m:fPr>
                    <m:ctrlPr>
                      <w:rPr>
                        <w:rFonts w:ascii="Cambria Math" w:hAnsi="Cambria Math" w:cs="Tahoma"/>
                        <w:szCs w:val="18"/>
                      </w:rPr>
                    </m:ctrlPr>
                  </m:fPr>
                  <m:num>
                    <m:r>
                      <m:rPr>
                        <m:sty m:val="p"/>
                      </m:rPr>
                      <w:rPr>
                        <w:rFonts w:ascii="Cambria Math" w:hAnsi="Cambria Math" w:cs="Tahoma"/>
                        <w:szCs w:val="18"/>
                      </w:rPr>
                      <m:t xml:space="preserve">Naudas līdzekļi+Īstermiņa vērtspapīri+Debitori </m:t>
                    </m:r>
                  </m:num>
                  <m:den>
                    <m:r>
                      <m:rPr>
                        <m:sty m:val="p"/>
                      </m:rPr>
                      <w:rPr>
                        <w:rFonts w:ascii="Cambria Math" w:hAnsi="Cambria Math" w:cs="Tahoma"/>
                        <w:szCs w:val="18"/>
                      </w:rPr>
                      <m:t xml:space="preserve">Īstermiņa saistības-nākamo periodu ieņēmumi </m:t>
                    </m:r>
                  </m:den>
                </m:f>
                <m:r>
                  <w:rPr>
                    <w:rFonts w:ascii="Cambria Math" w:hAnsi="Cambria Math" w:cs="Tahoma"/>
                    <w:szCs w:val="18"/>
                  </w:rPr>
                  <m:t>1.16</m:t>
                </m:r>
              </m:oMath>
            </m:oMathPara>
          </w:p>
          <w:p w14:paraId="0759825A" w14:textId="77777777" w:rsidR="003B4DAC" w:rsidRPr="00544870" w:rsidRDefault="003B4DAC" w:rsidP="00166480">
            <w:pPr>
              <w:jc w:val="center"/>
              <w:rPr>
                <w:rFonts w:cs="Tahoma"/>
                <w:b/>
                <w:szCs w:val="18"/>
              </w:rPr>
            </w:pPr>
          </w:p>
        </w:tc>
        <w:tc>
          <w:tcPr>
            <w:tcW w:w="2381" w:type="dxa"/>
            <w:shd w:val="clear" w:color="auto" w:fill="auto"/>
          </w:tcPr>
          <w:p w14:paraId="0FEA62AE" w14:textId="77777777" w:rsidR="003B4DAC" w:rsidRPr="0018759B" w:rsidRDefault="003B4DAC" w:rsidP="00166480">
            <w:pPr>
              <w:spacing w:before="120" w:after="120"/>
              <w:rPr>
                <w:rFonts w:cs="Tahoma"/>
                <w:szCs w:val="18"/>
              </w:rPr>
            </w:pPr>
            <w:r w:rsidRPr="0018759B">
              <w:rPr>
                <w:rFonts w:cs="Tahoma"/>
                <w:szCs w:val="18"/>
              </w:rPr>
              <w:t>(koeficienta ieteicamā robeža 0.7-0.8).</w:t>
            </w:r>
          </w:p>
          <w:p w14:paraId="2DD87897" w14:textId="77777777" w:rsidR="003B4DAC" w:rsidRPr="0018759B" w:rsidRDefault="003B4DAC" w:rsidP="00166480">
            <w:pPr>
              <w:spacing w:before="120" w:after="120"/>
              <w:rPr>
                <w:rFonts w:cs="Tahoma"/>
                <w:szCs w:val="18"/>
              </w:rPr>
            </w:pPr>
          </w:p>
        </w:tc>
      </w:tr>
      <w:tr w:rsidR="003B4DAC" w:rsidRPr="0018759B" w14:paraId="4ECEEAB4" w14:textId="77777777" w:rsidTr="00166480">
        <w:trPr>
          <w:trHeight w:val="794"/>
        </w:trPr>
        <w:tc>
          <w:tcPr>
            <w:tcW w:w="2415" w:type="dxa"/>
            <w:tcBorders>
              <w:top w:val="single" w:sz="4" w:space="0" w:color="auto"/>
              <w:bottom w:val="single" w:sz="4" w:space="0" w:color="auto"/>
            </w:tcBorders>
            <w:shd w:val="clear" w:color="auto" w:fill="auto"/>
          </w:tcPr>
          <w:p w14:paraId="11285A30" w14:textId="77777777" w:rsidR="003B4DAC" w:rsidRPr="0018759B" w:rsidRDefault="003B4DAC" w:rsidP="00166480">
            <w:pPr>
              <w:spacing w:before="120" w:after="120"/>
              <w:rPr>
                <w:rFonts w:cs="Tahoma"/>
                <w:szCs w:val="18"/>
              </w:rPr>
            </w:pPr>
            <w:r w:rsidRPr="0018759B">
              <w:rPr>
                <w:rFonts w:cs="Tahoma"/>
                <w:szCs w:val="18"/>
              </w:rPr>
              <w:t>Absolūtās likviditātes koeficients</w:t>
            </w:r>
          </w:p>
        </w:tc>
        <w:tc>
          <w:tcPr>
            <w:tcW w:w="4446" w:type="dxa"/>
            <w:tcBorders>
              <w:top w:val="single" w:sz="4" w:space="0" w:color="auto"/>
              <w:bottom w:val="single" w:sz="4" w:space="0" w:color="auto"/>
            </w:tcBorders>
            <w:shd w:val="clear" w:color="auto" w:fill="auto"/>
          </w:tcPr>
          <w:p w14:paraId="54188FB8" w14:textId="77777777" w:rsidR="003B4DAC" w:rsidRPr="00544870" w:rsidRDefault="00000000" w:rsidP="00166480">
            <w:pPr>
              <w:jc w:val="center"/>
              <w:rPr>
                <w:rFonts w:cs="Tahoma"/>
                <w:szCs w:val="18"/>
              </w:rPr>
            </w:pPr>
            <m:oMathPara>
              <m:oMath>
                <m:f>
                  <m:fPr>
                    <m:ctrlPr>
                      <w:rPr>
                        <w:rFonts w:ascii="Cambria Math" w:hAnsi="Cambria Math" w:cs="Tahoma"/>
                        <w:szCs w:val="18"/>
                      </w:rPr>
                    </m:ctrlPr>
                  </m:fPr>
                  <m:num>
                    <m:r>
                      <m:rPr>
                        <m:sty m:val="p"/>
                      </m:rPr>
                      <w:rPr>
                        <w:rFonts w:ascii="Cambria Math" w:hAnsi="Cambria Math" w:cs="Tahoma"/>
                        <w:szCs w:val="18"/>
                      </w:rPr>
                      <m:t>Naudas līdzekļi+Īstermiņa vērtspapīri</m:t>
                    </m:r>
                  </m:num>
                  <m:den>
                    <m:r>
                      <m:rPr>
                        <m:sty m:val="p"/>
                      </m:rPr>
                      <w:rPr>
                        <w:rFonts w:ascii="Cambria Math" w:hAnsi="Cambria Math" w:cs="Tahoma"/>
                        <w:szCs w:val="18"/>
                      </w:rPr>
                      <m:t>Īstermiņa saistības-nākamo periodu ieņēmumi</m:t>
                    </m:r>
                  </m:den>
                </m:f>
                <m:r>
                  <w:rPr>
                    <w:rFonts w:ascii="Cambria Math" w:hAnsi="Cambria Math" w:cs="Tahoma"/>
                    <w:szCs w:val="18"/>
                  </w:rPr>
                  <m:t>0.41</m:t>
                </m:r>
              </m:oMath>
            </m:oMathPara>
          </w:p>
          <w:p w14:paraId="4D4E6D18" w14:textId="77777777" w:rsidR="003B4DAC" w:rsidRPr="00544870" w:rsidRDefault="003B4DAC" w:rsidP="00166480">
            <w:pPr>
              <w:spacing w:after="0"/>
              <w:jc w:val="center"/>
              <w:rPr>
                <w:rFonts w:cs="Tahoma"/>
                <w:b/>
                <w:szCs w:val="18"/>
              </w:rPr>
            </w:pPr>
          </w:p>
        </w:tc>
        <w:tc>
          <w:tcPr>
            <w:tcW w:w="2381" w:type="dxa"/>
            <w:shd w:val="clear" w:color="auto" w:fill="auto"/>
          </w:tcPr>
          <w:p w14:paraId="54BC1719" w14:textId="77777777" w:rsidR="003B4DAC" w:rsidRPr="0018759B" w:rsidRDefault="003B4DAC" w:rsidP="00166480">
            <w:pPr>
              <w:spacing w:before="120" w:after="120"/>
              <w:rPr>
                <w:rFonts w:cs="Tahoma"/>
                <w:szCs w:val="18"/>
              </w:rPr>
            </w:pPr>
            <w:r w:rsidRPr="0018759B">
              <w:rPr>
                <w:rFonts w:cs="Tahoma"/>
                <w:szCs w:val="18"/>
              </w:rPr>
              <w:t>(koeficienta ieteicamā robeža 0.2-0.25).</w:t>
            </w:r>
          </w:p>
        </w:tc>
      </w:tr>
    </w:tbl>
    <w:p w14:paraId="730EE64F" w14:textId="77777777" w:rsidR="003B4DAC" w:rsidRDefault="003B4DAC" w:rsidP="003B4DAC">
      <w:pPr>
        <w:spacing w:before="120" w:after="120"/>
        <w:jc w:val="both"/>
        <w:rPr>
          <w:rFonts w:cs="Tahoma"/>
          <w:b/>
          <w:szCs w:val="18"/>
        </w:rPr>
      </w:pPr>
    </w:p>
    <w:p w14:paraId="1DA66C9F" w14:textId="77777777" w:rsidR="003B4DAC" w:rsidRPr="0018759B" w:rsidRDefault="003B4DAC" w:rsidP="003B4DAC">
      <w:pPr>
        <w:spacing w:before="120" w:after="120"/>
        <w:jc w:val="both"/>
        <w:rPr>
          <w:rFonts w:cs="Tahoma"/>
          <w:b/>
          <w:szCs w:val="18"/>
        </w:rPr>
      </w:pPr>
      <w:r w:rsidRPr="0018759B">
        <w:rPr>
          <w:rFonts w:cs="Tahoma"/>
          <w:b/>
          <w:szCs w:val="18"/>
        </w:rPr>
        <w:t>Rentabilitāte (Sabiedrības panākumi peļņas gūšanā):</w:t>
      </w:r>
    </w:p>
    <w:tbl>
      <w:tblPr>
        <w:tblW w:w="0" w:type="auto"/>
        <w:tblLook w:val="04A0" w:firstRow="1" w:lastRow="0" w:firstColumn="1" w:lastColumn="0" w:noHBand="0" w:noVBand="1"/>
      </w:tblPr>
      <w:tblGrid>
        <w:gridCol w:w="2414"/>
        <w:gridCol w:w="5102"/>
      </w:tblGrid>
      <w:tr w:rsidR="003B4DAC" w:rsidRPr="00544870" w14:paraId="6CE99CF6" w14:textId="77777777" w:rsidTr="00914D35">
        <w:tc>
          <w:tcPr>
            <w:tcW w:w="2414" w:type="dxa"/>
            <w:shd w:val="clear" w:color="auto" w:fill="auto"/>
          </w:tcPr>
          <w:p w14:paraId="14A1D66C" w14:textId="77777777" w:rsidR="003B4DAC" w:rsidRPr="00544870" w:rsidRDefault="003B4DAC" w:rsidP="00166480">
            <w:pPr>
              <w:spacing w:before="120" w:after="120"/>
              <w:jc w:val="both"/>
              <w:rPr>
                <w:rFonts w:cs="Tahoma"/>
                <w:szCs w:val="18"/>
              </w:rPr>
            </w:pPr>
            <w:r w:rsidRPr="00544870">
              <w:rPr>
                <w:rFonts w:cs="Tahoma"/>
                <w:szCs w:val="18"/>
              </w:rPr>
              <w:t>Bruto peļņas rādītājs (%)</w:t>
            </w:r>
          </w:p>
          <w:p w14:paraId="1FABABBA" w14:textId="77777777" w:rsidR="003B4DAC" w:rsidRPr="00544870" w:rsidRDefault="003B4DAC" w:rsidP="00166480">
            <w:pPr>
              <w:spacing w:before="120" w:after="120"/>
              <w:jc w:val="both"/>
              <w:rPr>
                <w:rFonts w:cs="Tahoma"/>
                <w:szCs w:val="18"/>
              </w:rPr>
            </w:pPr>
          </w:p>
        </w:tc>
        <w:tc>
          <w:tcPr>
            <w:tcW w:w="5002" w:type="dxa"/>
            <w:shd w:val="clear" w:color="auto" w:fill="auto"/>
          </w:tcPr>
          <w:p w14:paraId="17E7C4C8" w14:textId="4966024B" w:rsidR="003B4DAC" w:rsidRPr="00544870" w:rsidRDefault="00000000" w:rsidP="00166480">
            <w:pPr>
              <w:rPr>
                <w:rFonts w:cs="Tahoma"/>
                <w:szCs w:val="18"/>
              </w:rPr>
            </w:pPr>
            <m:oMathPara>
              <m:oMath>
                <m:f>
                  <m:fPr>
                    <m:ctrlPr>
                      <w:rPr>
                        <w:rFonts w:ascii="Cambria Math" w:hAnsi="Cambria Math" w:cs="Tahoma"/>
                        <w:szCs w:val="18"/>
                      </w:rPr>
                    </m:ctrlPr>
                  </m:fPr>
                  <m:num>
                    <m:r>
                      <m:rPr>
                        <m:sty m:val="p"/>
                      </m:rPr>
                      <w:rPr>
                        <w:rFonts w:ascii="Cambria Math" w:hAnsi="Cambria Math" w:cs="Tahoma"/>
                        <w:szCs w:val="18"/>
                      </w:rPr>
                      <m:t xml:space="preserve">Apgrozījums-Pārdotās produkcijas ražošanas izmaksas </m:t>
                    </m:r>
                  </m:num>
                  <m:den>
                    <m:r>
                      <m:rPr>
                        <m:sty m:val="p"/>
                      </m:rPr>
                      <w:rPr>
                        <w:rFonts w:ascii="Cambria Math" w:hAnsi="Cambria Math" w:cs="Tahoma"/>
                        <w:szCs w:val="18"/>
                      </w:rPr>
                      <m:t xml:space="preserve">Apgrozījums  </m:t>
                    </m:r>
                  </m:den>
                </m:f>
                <m:r>
                  <w:rPr>
                    <w:rFonts w:ascii="Cambria Math" w:hAnsi="Cambria Math" w:cs="Tahoma"/>
                    <w:szCs w:val="18"/>
                  </w:rPr>
                  <m:t>10.20</m:t>
                </m:r>
              </m:oMath>
            </m:oMathPara>
          </w:p>
          <w:p w14:paraId="3174E7B3" w14:textId="77777777" w:rsidR="003B4DAC" w:rsidRPr="00544870" w:rsidRDefault="003B4DAC" w:rsidP="00166480">
            <w:pPr>
              <w:jc w:val="center"/>
              <w:rPr>
                <w:rFonts w:cs="Tahoma"/>
                <w:b/>
                <w:szCs w:val="18"/>
              </w:rPr>
            </w:pPr>
          </w:p>
        </w:tc>
      </w:tr>
    </w:tbl>
    <w:p w14:paraId="69A7B077" w14:textId="77777777" w:rsidR="003B4DAC" w:rsidRPr="00544870" w:rsidRDefault="003B4DAC" w:rsidP="003B4DAC">
      <w:pPr>
        <w:spacing w:before="120" w:after="120"/>
        <w:jc w:val="both"/>
        <w:rPr>
          <w:rFonts w:cs="Tahoma"/>
          <w:b/>
          <w:szCs w:val="18"/>
        </w:rPr>
      </w:pPr>
      <w:r w:rsidRPr="00544870">
        <w:rPr>
          <w:rFonts w:cs="Tahoma"/>
          <w:b/>
          <w:szCs w:val="18"/>
        </w:rPr>
        <w:t>Nodrošinājuma ar pašu līdzekļiem koeficients</w:t>
      </w:r>
    </w:p>
    <w:tbl>
      <w:tblPr>
        <w:tblW w:w="0" w:type="auto"/>
        <w:tblLook w:val="04A0" w:firstRow="1" w:lastRow="0" w:firstColumn="1" w:lastColumn="0" w:noHBand="0" w:noVBand="1"/>
      </w:tblPr>
      <w:tblGrid>
        <w:gridCol w:w="2414"/>
        <w:gridCol w:w="4915"/>
      </w:tblGrid>
      <w:tr w:rsidR="003B4DAC" w:rsidRPr="00544870" w14:paraId="5CED9933" w14:textId="77777777" w:rsidTr="00166480">
        <w:tc>
          <w:tcPr>
            <w:tcW w:w="2414" w:type="dxa"/>
            <w:tcBorders>
              <w:bottom w:val="single" w:sz="4" w:space="0" w:color="auto"/>
            </w:tcBorders>
            <w:shd w:val="clear" w:color="auto" w:fill="auto"/>
          </w:tcPr>
          <w:p w14:paraId="6129A5D0" w14:textId="77777777" w:rsidR="003B4DAC" w:rsidRPr="00544870" w:rsidRDefault="003B4DAC" w:rsidP="00166480">
            <w:pPr>
              <w:spacing w:before="120" w:after="120"/>
              <w:rPr>
                <w:rFonts w:cs="Tahoma"/>
                <w:szCs w:val="18"/>
              </w:rPr>
            </w:pPr>
            <w:r w:rsidRPr="00544870">
              <w:rPr>
                <w:rFonts w:cs="Tahoma"/>
                <w:szCs w:val="18"/>
              </w:rPr>
              <w:t>Ilgtermiņa ieguldījumu segums ar pašu kapitālu</w:t>
            </w:r>
          </w:p>
        </w:tc>
        <w:tc>
          <w:tcPr>
            <w:tcW w:w="4915" w:type="dxa"/>
            <w:tcBorders>
              <w:bottom w:val="single" w:sz="4" w:space="0" w:color="auto"/>
            </w:tcBorders>
            <w:shd w:val="clear" w:color="auto" w:fill="auto"/>
          </w:tcPr>
          <w:p w14:paraId="15CAFB93" w14:textId="77777777" w:rsidR="003B4DAC" w:rsidRPr="00544870" w:rsidRDefault="00000000" w:rsidP="00166480">
            <w:pPr>
              <w:jc w:val="center"/>
              <w:rPr>
                <w:rFonts w:cs="Tahoma"/>
                <w:szCs w:val="18"/>
              </w:rPr>
            </w:pPr>
            <m:oMathPara>
              <m:oMath>
                <m:f>
                  <m:fPr>
                    <m:ctrlPr>
                      <w:rPr>
                        <w:rFonts w:ascii="Cambria Math" w:hAnsi="Cambria Math" w:cs="Tahoma"/>
                        <w:szCs w:val="18"/>
                      </w:rPr>
                    </m:ctrlPr>
                  </m:fPr>
                  <m:num>
                    <m:r>
                      <m:rPr>
                        <m:sty m:val="p"/>
                      </m:rPr>
                      <w:rPr>
                        <w:rFonts w:ascii="Cambria Math" w:hAnsi="Cambria Math" w:cs="Tahoma"/>
                        <w:szCs w:val="18"/>
                      </w:rPr>
                      <m:t xml:space="preserve">Pašu kapitāls </m:t>
                    </m:r>
                  </m:num>
                  <m:den>
                    <m:r>
                      <m:rPr>
                        <m:sty m:val="p"/>
                      </m:rPr>
                      <w:rPr>
                        <w:rFonts w:ascii="Cambria Math" w:hAnsi="Cambria Math" w:cs="Tahoma"/>
                        <w:szCs w:val="18"/>
                      </w:rPr>
                      <m:t>Ilgtermiņa ieguldījumi</m:t>
                    </m:r>
                  </m:den>
                </m:f>
                <m:r>
                  <w:rPr>
                    <w:rFonts w:ascii="Cambria Math" w:hAnsi="Cambria Math" w:cs="Tahoma"/>
                    <w:szCs w:val="18"/>
                  </w:rPr>
                  <m:t xml:space="preserve"> 0.71</m:t>
                </m:r>
              </m:oMath>
            </m:oMathPara>
          </w:p>
          <w:p w14:paraId="2721F62B" w14:textId="77777777" w:rsidR="003B4DAC" w:rsidRPr="00544870" w:rsidRDefault="003B4DAC" w:rsidP="00166480">
            <w:pPr>
              <w:jc w:val="center"/>
              <w:rPr>
                <w:rFonts w:cs="Tahoma"/>
                <w:b/>
                <w:szCs w:val="18"/>
              </w:rPr>
            </w:pPr>
          </w:p>
        </w:tc>
      </w:tr>
      <w:tr w:rsidR="003B4DAC" w:rsidRPr="00544870" w14:paraId="78F392F5" w14:textId="77777777" w:rsidTr="00166480">
        <w:tc>
          <w:tcPr>
            <w:tcW w:w="2414" w:type="dxa"/>
            <w:tcBorders>
              <w:top w:val="single" w:sz="4" w:space="0" w:color="auto"/>
              <w:bottom w:val="single" w:sz="4" w:space="0" w:color="auto"/>
            </w:tcBorders>
            <w:shd w:val="clear" w:color="auto" w:fill="auto"/>
          </w:tcPr>
          <w:p w14:paraId="221B219B" w14:textId="77777777" w:rsidR="003B4DAC" w:rsidRPr="00544870" w:rsidRDefault="003B4DAC" w:rsidP="00166480">
            <w:pPr>
              <w:spacing w:before="120" w:after="120"/>
              <w:rPr>
                <w:rFonts w:cs="Tahoma"/>
                <w:szCs w:val="18"/>
              </w:rPr>
            </w:pPr>
            <w:r w:rsidRPr="00544870">
              <w:rPr>
                <w:rFonts w:cs="Tahoma"/>
                <w:szCs w:val="18"/>
              </w:rPr>
              <w:t>Apgrozāmo līdzekļu segums ar īstermiņa saistībām</w:t>
            </w:r>
          </w:p>
        </w:tc>
        <w:tc>
          <w:tcPr>
            <w:tcW w:w="4915" w:type="dxa"/>
            <w:tcBorders>
              <w:top w:val="single" w:sz="4" w:space="0" w:color="auto"/>
              <w:bottom w:val="single" w:sz="4" w:space="0" w:color="auto"/>
            </w:tcBorders>
            <w:shd w:val="clear" w:color="auto" w:fill="auto"/>
          </w:tcPr>
          <w:p w14:paraId="05E4F641" w14:textId="77777777" w:rsidR="003B4DAC" w:rsidRPr="00544870" w:rsidRDefault="00000000" w:rsidP="00166480">
            <w:pPr>
              <w:jc w:val="center"/>
              <w:rPr>
                <w:rFonts w:cs="Tahoma"/>
                <w:szCs w:val="18"/>
              </w:rPr>
            </w:pPr>
            <m:oMathPara>
              <m:oMath>
                <m:f>
                  <m:fPr>
                    <m:ctrlPr>
                      <w:rPr>
                        <w:rFonts w:ascii="Cambria Math" w:hAnsi="Cambria Math" w:cs="Tahoma"/>
                        <w:szCs w:val="18"/>
                      </w:rPr>
                    </m:ctrlPr>
                  </m:fPr>
                  <m:num>
                    <m:r>
                      <m:rPr>
                        <m:sty m:val="p"/>
                      </m:rPr>
                      <w:rPr>
                        <w:rFonts w:ascii="Cambria Math" w:hAnsi="Cambria Math" w:cs="Tahoma"/>
                        <w:szCs w:val="18"/>
                      </w:rPr>
                      <m:t xml:space="preserve">Īstermiņa saistības </m:t>
                    </m:r>
                  </m:num>
                  <m:den>
                    <m:r>
                      <m:rPr>
                        <m:sty m:val="p"/>
                      </m:rPr>
                      <w:rPr>
                        <w:rFonts w:ascii="Cambria Math" w:hAnsi="Cambria Math" w:cs="Tahoma"/>
                        <w:szCs w:val="18"/>
                      </w:rPr>
                      <m:t>Apgrozāmie līdzekļi</m:t>
                    </m:r>
                  </m:den>
                </m:f>
                <m:r>
                  <w:rPr>
                    <w:rFonts w:ascii="Cambria Math" w:hAnsi="Cambria Math" w:cs="Tahoma"/>
                    <w:szCs w:val="18"/>
                  </w:rPr>
                  <m:t xml:space="preserve"> 0.82</m:t>
                </m:r>
              </m:oMath>
            </m:oMathPara>
          </w:p>
          <w:p w14:paraId="3BC7BEE8" w14:textId="77777777" w:rsidR="003B4DAC" w:rsidRPr="00544870" w:rsidRDefault="003B4DAC" w:rsidP="00166480">
            <w:pPr>
              <w:jc w:val="center"/>
              <w:rPr>
                <w:rFonts w:cs="Tahoma"/>
                <w:b/>
                <w:szCs w:val="18"/>
              </w:rPr>
            </w:pPr>
          </w:p>
        </w:tc>
      </w:tr>
      <w:tr w:rsidR="003B4DAC" w:rsidRPr="00544870" w14:paraId="620B8765" w14:textId="77777777" w:rsidTr="00166480">
        <w:tc>
          <w:tcPr>
            <w:tcW w:w="2414" w:type="dxa"/>
            <w:tcBorders>
              <w:top w:val="single" w:sz="4" w:space="0" w:color="auto"/>
            </w:tcBorders>
            <w:shd w:val="clear" w:color="auto" w:fill="auto"/>
          </w:tcPr>
          <w:p w14:paraId="3359C88D" w14:textId="77777777" w:rsidR="003B4DAC" w:rsidRPr="00544870" w:rsidRDefault="003B4DAC" w:rsidP="00166480">
            <w:pPr>
              <w:spacing w:before="120" w:after="120"/>
              <w:jc w:val="both"/>
              <w:rPr>
                <w:rFonts w:cs="Tahoma"/>
                <w:szCs w:val="18"/>
              </w:rPr>
            </w:pPr>
            <w:r w:rsidRPr="00544870">
              <w:rPr>
                <w:rFonts w:cs="Tahoma"/>
                <w:szCs w:val="18"/>
              </w:rPr>
              <w:t xml:space="preserve">Neto apgrozāmais kapitāls </w:t>
            </w:r>
          </w:p>
          <w:p w14:paraId="166F9354" w14:textId="77777777" w:rsidR="003B4DAC" w:rsidRPr="00544870" w:rsidRDefault="003B4DAC" w:rsidP="00166480">
            <w:pPr>
              <w:spacing w:before="120" w:after="120"/>
              <w:jc w:val="both"/>
              <w:rPr>
                <w:rFonts w:cs="Tahoma"/>
                <w:szCs w:val="18"/>
              </w:rPr>
            </w:pPr>
          </w:p>
        </w:tc>
        <w:tc>
          <w:tcPr>
            <w:tcW w:w="4915" w:type="dxa"/>
            <w:tcBorders>
              <w:top w:val="single" w:sz="4" w:space="0" w:color="auto"/>
            </w:tcBorders>
            <w:shd w:val="clear" w:color="auto" w:fill="auto"/>
          </w:tcPr>
          <w:p w14:paraId="5173C9A4" w14:textId="77777777" w:rsidR="003B4DAC" w:rsidRPr="00544870" w:rsidRDefault="003B4DAC" w:rsidP="00166480">
            <w:pPr>
              <w:spacing w:before="240" w:after="0"/>
              <w:jc w:val="center"/>
              <w:rPr>
                <w:rFonts w:ascii="Cambria Math" w:hAnsi="Cambria Math" w:cs="Tahoma"/>
                <w:szCs w:val="18"/>
              </w:rPr>
            </w:pPr>
            <w:r w:rsidRPr="00544870">
              <w:rPr>
                <w:rFonts w:ascii="Cambria Math" w:hAnsi="Cambria Math" w:cs="Tahoma"/>
                <w:szCs w:val="18"/>
              </w:rPr>
              <w:t>Apgrozāmie līdzekļi – Īstermiņa saistības  20</w:t>
            </w:r>
            <w:r>
              <w:rPr>
                <w:rFonts w:ascii="Cambria Math" w:hAnsi="Cambria Math" w:cs="Tahoma"/>
                <w:szCs w:val="18"/>
              </w:rPr>
              <w:t>3 287</w:t>
            </w:r>
          </w:p>
        </w:tc>
      </w:tr>
    </w:tbl>
    <w:p w14:paraId="6F562054" w14:textId="77777777" w:rsidR="003B4DAC" w:rsidRPr="002C2B1B" w:rsidRDefault="003B4DAC" w:rsidP="003B4DAC">
      <w:pPr>
        <w:spacing w:before="120" w:after="120"/>
        <w:jc w:val="both"/>
        <w:rPr>
          <w:rFonts w:cs="Tahoma"/>
          <w:b/>
          <w:szCs w:val="18"/>
        </w:rPr>
      </w:pPr>
      <w:r w:rsidRPr="002C2B1B">
        <w:rPr>
          <w:rFonts w:cs="Tahoma"/>
          <w:b/>
          <w:szCs w:val="18"/>
        </w:rPr>
        <w:t>Saistību vai maksātspējas rādītāji (Sabiedrības spēja segt īstermiņa un ilgtermiņa saistības):</w:t>
      </w:r>
    </w:p>
    <w:tbl>
      <w:tblPr>
        <w:tblW w:w="0" w:type="auto"/>
        <w:tblLook w:val="04A0" w:firstRow="1" w:lastRow="0" w:firstColumn="1" w:lastColumn="0" w:noHBand="0" w:noVBand="1"/>
      </w:tblPr>
      <w:tblGrid>
        <w:gridCol w:w="2414"/>
        <w:gridCol w:w="4448"/>
      </w:tblGrid>
      <w:tr w:rsidR="003B4DAC" w:rsidRPr="002C2B1B" w14:paraId="17D50DC3" w14:textId="77777777" w:rsidTr="00166480">
        <w:tc>
          <w:tcPr>
            <w:tcW w:w="2414" w:type="dxa"/>
            <w:tcBorders>
              <w:bottom w:val="single" w:sz="4" w:space="0" w:color="auto"/>
            </w:tcBorders>
            <w:shd w:val="clear" w:color="auto" w:fill="auto"/>
          </w:tcPr>
          <w:p w14:paraId="56233345" w14:textId="77777777" w:rsidR="003B4DAC" w:rsidRPr="002C2B1B" w:rsidRDefault="003B4DAC" w:rsidP="00166480">
            <w:pPr>
              <w:spacing w:before="120" w:after="120"/>
              <w:jc w:val="both"/>
              <w:rPr>
                <w:rFonts w:cs="Tahoma"/>
                <w:szCs w:val="18"/>
              </w:rPr>
            </w:pPr>
            <w:r w:rsidRPr="002C2B1B">
              <w:rPr>
                <w:rFonts w:cs="Tahoma"/>
                <w:szCs w:val="18"/>
              </w:rPr>
              <w:t>Saistību īpatsvars bilancē</w:t>
            </w:r>
          </w:p>
        </w:tc>
        <w:tc>
          <w:tcPr>
            <w:tcW w:w="4448" w:type="dxa"/>
            <w:tcBorders>
              <w:bottom w:val="single" w:sz="4" w:space="0" w:color="auto"/>
            </w:tcBorders>
            <w:shd w:val="clear" w:color="auto" w:fill="auto"/>
          </w:tcPr>
          <w:p w14:paraId="1F72C88B" w14:textId="77777777" w:rsidR="003B4DAC" w:rsidRPr="00544870" w:rsidRDefault="00000000" w:rsidP="00166480">
            <w:pPr>
              <w:jc w:val="center"/>
              <w:rPr>
                <w:rFonts w:cs="Tahoma"/>
                <w:szCs w:val="18"/>
              </w:rPr>
            </w:pPr>
            <m:oMathPara>
              <m:oMath>
                <m:f>
                  <m:fPr>
                    <m:ctrlPr>
                      <w:rPr>
                        <w:rFonts w:ascii="Cambria Math" w:hAnsi="Cambria Math" w:cs="Tahoma"/>
                        <w:szCs w:val="18"/>
                      </w:rPr>
                    </m:ctrlPr>
                  </m:fPr>
                  <m:num>
                    <m:r>
                      <m:rPr>
                        <m:sty m:val="p"/>
                      </m:rPr>
                      <w:rPr>
                        <w:rFonts w:ascii="Cambria Math" w:hAnsi="Cambria Math" w:cs="Tahoma"/>
                        <w:szCs w:val="18"/>
                      </w:rPr>
                      <m:t>Kopējās saistības</m:t>
                    </m:r>
                  </m:num>
                  <m:den>
                    <m:r>
                      <m:rPr>
                        <m:sty m:val="p"/>
                      </m:rPr>
                      <w:rPr>
                        <w:rFonts w:ascii="Cambria Math" w:hAnsi="Cambria Math" w:cs="Tahoma"/>
                        <w:szCs w:val="18"/>
                      </w:rPr>
                      <m:t xml:space="preserve">Bilances kopsumma </m:t>
                    </m:r>
                  </m:den>
                </m:f>
                <m:r>
                  <w:rPr>
                    <w:rFonts w:ascii="Cambria Math" w:hAnsi="Cambria Math" w:cs="Tahoma"/>
                    <w:szCs w:val="18"/>
                  </w:rPr>
                  <m:t>0.60</m:t>
                </m:r>
              </m:oMath>
            </m:oMathPara>
          </w:p>
          <w:p w14:paraId="1184343F" w14:textId="77777777" w:rsidR="003B4DAC" w:rsidRPr="00544870" w:rsidRDefault="003B4DAC" w:rsidP="00166480">
            <w:pPr>
              <w:jc w:val="center"/>
              <w:rPr>
                <w:rFonts w:cs="Tahoma"/>
                <w:b/>
                <w:szCs w:val="18"/>
              </w:rPr>
            </w:pPr>
          </w:p>
        </w:tc>
      </w:tr>
      <w:tr w:rsidR="003B4DAC" w:rsidRPr="002C2B1B" w14:paraId="1AFA2032" w14:textId="77777777" w:rsidTr="00166480">
        <w:tc>
          <w:tcPr>
            <w:tcW w:w="2414" w:type="dxa"/>
            <w:tcBorders>
              <w:top w:val="single" w:sz="4" w:space="0" w:color="auto"/>
              <w:bottom w:val="single" w:sz="4" w:space="0" w:color="auto"/>
            </w:tcBorders>
            <w:shd w:val="clear" w:color="auto" w:fill="auto"/>
          </w:tcPr>
          <w:p w14:paraId="637DA025" w14:textId="77777777" w:rsidR="003B4DAC" w:rsidRPr="002C2B1B" w:rsidRDefault="003B4DAC" w:rsidP="00166480">
            <w:pPr>
              <w:spacing w:before="120" w:after="120"/>
              <w:jc w:val="both"/>
              <w:rPr>
                <w:rFonts w:cs="Tahoma"/>
                <w:szCs w:val="18"/>
              </w:rPr>
            </w:pPr>
            <w:r w:rsidRPr="002C2B1B">
              <w:rPr>
                <w:rFonts w:cs="Tahoma"/>
                <w:szCs w:val="18"/>
              </w:rPr>
              <w:t>Saistību attiecība pret pašu kapitālu</w:t>
            </w:r>
          </w:p>
        </w:tc>
        <w:tc>
          <w:tcPr>
            <w:tcW w:w="4448" w:type="dxa"/>
            <w:tcBorders>
              <w:top w:val="single" w:sz="4" w:space="0" w:color="auto"/>
              <w:bottom w:val="single" w:sz="4" w:space="0" w:color="auto"/>
            </w:tcBorders>
            <w:shd w:val="clear" w:color="auto" w:fill="auto"/>
            <w:vAlign w:val="center"/>
          </w:tcPr>
          <w:p w14:paraId="65758F05" w14:textId="77777777" w:rsidR="003B4DAC" w:rsidRPr="00544870" w:rsidRDefault="00000000" w:rsidP="00166480">
            <w:pPr>
              <w:jc w:val="center"/>
              <w:rPr>
                <w:rFonts w:cs="Tahoma"/>
                <w:szCs w:val="18"/>
              </w:rPr>
            </w:pPr>
            <m:oMathPara>
              <m:oMath>
                <m:f>
                  <m:fPr>
                    <m:ctrlPr>
                      <w:rPr>
                        <w:rFonts w:ascii="Cambria Math" w:hAnsi="Cambria Math" w:cs="Tahoma"/>
                        <w:szCs w:val="18"/>
                      </w:rPr>
                    </m:ctrlPr>
                  </m:fPr>
                  <m:num>
                    <m:r>
                      <m:rPr>
                        <m:sty m:val="p"/>
                      </m:rPr>
                      <w:rPr>
                        <w:rFonts w:ascii="Cambria Math" w:hAnsi="Cambria Math" w:cs="Tahoma"/>
                        <w:szCs w:val="18"/>
                      </w:rPr>
                      <m:t>Kopējās saistības</m:t>
                    </m:r>
                  </m:num>
                  <m:den>
                    <m:r>
                      <m:rPr>
                        <m:sty m:val="p"/>
                      </m:rPr>
                      <w:rPr>
                        <w:rFonts w:ascii="Cambria Math" w:hAnsi="Cambria Math" w:cs="Tahoma"/>
                        <w:szCs w:val="18"/>
                      </w:rPr>
                      <m:t>Pašu kapitāls</m:t>
                    </m:r>
                  </m:den>
                </m:f>
                <m:r>
                  <w:rPr>
                    <w:rFonts w:ascii="Cambria Math" w:hAnsi="Cambria Math" w:cs="Tahoma"/>
                    <w:szCs w:val="18"/>
                  </w:rPr>
                  <m:t>1.50</m:t>
                </m:r>
              </m:oMath>
            </m:oMathPara>
          </w:p>
          <w:p w14:paraId="69FC9C03" w14:textId="77777777" w:rsidR="003B4DAC" w:rsidRPr="00544870" w:rsidRDefault="003B4DAC" w:rsidP="00166480">
            <w:pPr>
              <w:jc w:val="center"/>
              <w:rPr>
                <w:rFonts w:cs="Tahoma"/>
                <w:b/>
                <w:szCs w:val="18"/>
              </w:rPr>
            </w:pPr>
          </w:p>
        </w:tc>
      </w:tr>
    </w:tbl>
    <w:p w14:paraId="08B1D05F" w14:textId="77777777" w:rsidR="003B4DAC" w:rsidRDefault="003B4DAC" w:rsidP="003B4DAC">
      <w:pPr>
        <w:jc w:val="both"/>
        <w:rPr>
          <w:rFonts w:cs="Tahoma"/>
          <w:b/>
          <w:szCs w:val="18"/>
        </w:rPr>
      </w:pPr>
    </w:p>
    <w:p w14:paraId="28937473" w14:textId="77777777" w:rsidR="003B4DAC" w:rsidRPr="006267EE" w:rsidRDefault="003B4DAC" w:rsidP="003B4DAC">
      <w:pPr>
        <w:spacing w:before="120" w:after="120"/>
        <w:jc w:val="both"/>
        <w:rPr>
          <w:rFonts w:cs="Tahoma"/>
          <w:b/>
          <w:szCs w:val="18"/>
        </w:rPr>
      </w:pPr>
      <w:r w:rsidRPr="006267EE">
        <w:rPr>
          <w:rFonts w:cs="Tahoma"/>
          <w:b/>
          <w:szCs w:val="18"/>
        </w:rPr>
        <w:t>Sabiedrības akciju vai daļu kopums</w:t>
      </w:r>
    </w:p>
    <w:p w14:paraId="3BE73280" w14:textId="1BD42D5F" w:rsidR="003B4DAC" w:rsidRPr="00D354DB" w:rsidRDefault="003B4DAC" w:rsidP="003B4DAC">
      <w:pPr>
        <w:spacing w:before="120" w:after="120"/>
        <w:jc w:val="both"/>
        <w:rPr>
          <w:rFonts w:cs="Tahoma"/>
          <w:color w:val="000000" w:themeColor="text1"/>
          <w:szCs w:val="18"/>
        </w:rPr>
      </w:pPr>
      <w:r w:rsidRPr="00D354DB">
        <w:rPr>
          <w:rFonts w:cs="Tahoma"/>
          <w:color w:val="000000" w:themeColor="text1"/>
          <w:szCs w:val="18"/>
        </w:rPr>
        <w:t>202</w:t>
      </w:r>
      <w:r>
        <w:rPr>
          <w:rFonts w:cs="Tahoma"/>
          <w:color w:val="000000" w:themeColor="text1"/>
          <w:szCs w:val="18"/>
        </w:rPr>
        <w:t>2</w:t>
      </w:r>
      <w:r w:rsidRPr="00D354DB">
        <w:rPr>
          <w:rFonts w:cs="Tahoma"/>
          <w:color w:val="000000" w:themeColor="text1"/>
          <w:szCs w:val="18"/>
        </w:rPr>
        <w:t>.</w:t>
      </w:r>
      <w:r w:rsidR="00F44520">
        <w:rPr>
          <w:rFonts w:cs="Tahoma"/>
          <w:color w:val="000000" w:themeColor="text1"/>
          <w:szCs w:val="18"/>
        </w:rPr>
        <w:t xml:space="preserve"> </w:t>
      </w:r>
      <w:r w:rsidRPr="00D354DB">
        <w:rPr>
          <w:rFonts w:cs="Tahoma"/>
          <w:color w:val="000000" w:themeColor="text1"/>
          <w:szCs w:val="18"/>
        </w:rPr>
        <w:t>gada 31.</w:t>
      </w:r>
      <w:r>
        <w:rPr>
          <w:rFonts w:cs="Tahoma"/>
          <w:color w:val="000000" w:themeColor="text1"/>
          <w:szCs w:val="18"/>
        </w:rPr>
        <w:t>martā</w:t>
      </w:r>
      <w:r w:rsidRPr="00D354DB">
        <w:rPr>
          <w:rFonts w:cs="Tahoma"/>
          <w:color w:val="000000" w:themeColor="text1"/>
          <w:szCs w:val="18"/>
        </w:rPr>
        <w:t xml:space="preserve"> Sabiedrības reģistrētais un apmaksātais pamatkapitāls ir EUR 1 863 524, kas sastāv no 1 863 524 daļām, ar vienas daļas nominālvērtību 1 (viens) euro.</w:t>
      </w:r>
    </w:p>
    <w:p w14:paraId="2F89205C" w14:textId="77777777" w:rsidR="003B4DAC" w:rsidRPr="00A3288C" w:rsidRDefault="003B4DAC" w:rsidP="003B4DAC">
      <w:pPr>
        <w:spacing w:before="120" w:after="120"/>
        <w:jc w:val="both"/>
        <w:rPr>
          <w:rFonts w:cs="Tahoma"/>
          <w:color w:val="FF0000"/>
          <w:szCs w:val="18"/>
        </w:rPr>
      </w:pPr>
      <w:r w:rsidRPr="00CD42E7">
        <w:rPr>
          <w:rFonts w:cs="Tahoma"/>
          <w:szCs w:val="18"/>
        </w:rPr>
        <w:t>Pamatkapitāla attiecība pret pašu kapitālu uz  31.</w:t>
      </w:r>
      <w:r>
        <w:rPr>
          <w:rFonts w:cs="Tahoma"/>
          <w:szCs w:val="18"/>
        </w:rPr>
        <w:t>03.2022.</w:t>
      </w:r>
      <w:r w:rsidRPr="00CD42E7">
        <w:rPr>
          <w:rFonts w:cs="Tahoma"/>
          <w:szCs w:val="18"/>
        </w:rPr>
        <w:t xml:space="preserve"> ir 1.</w:t>
      </w:r>
      <w:r>
        <w:rPr>
          <w:rFonts w:cs="Tahoma"/>
          <w:szCs w:val="18"/>
        </w:rPr>
        <w:t>83</w:t>
      </w:r>
      <w:r w:rsidRPr="00544870">
        <w:rPr>
          <w:rFonts w:cs="Tahoma"/>
          <w:szCs w:val="18"/>
        </w:rPr>
        <w:t>; uz 31.12.202</w:t>
      </w:r>
      <w:r>
        <w:rPr>
          <w:rFonts w:cs="Tahoma"/>
          <w:szCs w:val="18"/>
        </w:rPr>
        <w:t>1</w:t>
      </w:r>
      <w:r w:rsidRPr="00544870">
        <w:rPr>
          <w:rFonts w:cs="Tahoma"/>
          <w:szCs w:val="18"/>
        </w:rPr>
        <w:t>. tas bija 1.</w:t>
      </w:r>
      <w:r>
        <w:rPr>
          <w:rFonts w:cs="Tahoma"/>
          <w:szCs w:val="18"/>
        </w:rPr>
        <w:t>67</w:t>
      </w:r>
      <w:r w:rsidRPr="00544870">
        <w:rPr>
          <w:rFonts w:cs="Tahoma"/>
          <w:szCs w:val="18"/>
        </w:rPr>
        <w:t>.</w:t>
      </w:r>
    </w:p>
    <w:p w14:paraId="3AAB2451" w14:textId="77777777" w:rsidR="003B4DAC" w:rsidRDefault="003B4DAC" w:rsidP="003B4DAC">
      <w:pPr>
        <w:spacing w:before="120" w:after="120"/>
        <w:jc w:val="both"/>
        <w:rPr>
          <w:rFonts w:cs="Tahoma"/>
          <w:szCs w:val="18"/>
        </w:rPr>
      </w:pPr>
    </w:p>
    <w:p w14:paraId="529D086C" w14:textId="77777777" w:rsidR="003B4DAC" w:rsidRPr="006267EE" w:rsidRDefault="003B4DAC" w:rsidP="003B4DAC">
      <w:pPr>
        <w:spacing w:before="120" w:after="120"/>
        <w:jc w:val="both"/>
        <w:rPr>
          <w:rFonts w:cs="Tahoma"/>
          <w:szCs w:val="18"/>
        </w:rPr>
      </w:pPr>
      <w:r w:rsidRPr="006267EE">
        <w:rPr>
          <w:rFonts w:cs="Tahoma"/>
          <w:szCs w:val="18"/>
        </w:rPr>
        <w:lastRenderedPageBreak/>
        <w:t>Uz 202</w:t>
      </w:r>
      <w:r>
        <w:rPr>
          <w:rFonts w:cs="Tahoma"/>
          <w:szCs w:val="18"/>
        </w:rPr>
        <w:t>2.gada 31.martu</w:t>
      </w:r>
      <w:r w:rsidRPr="006267EE">
        <w:rPr>
          <w:rFonts w:cs="Tahoma"/>
          <w:szCs w:val="18"/>
        </w:rPr>
        <w:t xml:space="preserve"> Sabiedrības dalībnieku kapitāla daļas sadalās sekojoši:</w:t>
      </w:r>
    </w:p>
    <w:tbl>
      <w:tblPr>
        <w:tblStyle w:val="Reatabula"/>
        <w:tblW w:w="9180"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1276"/>
        <w:gridCol w:w="1843"/>
        <w:gridCol w:w="1417"/>
        <w:gridCol w:w="1559"/>
      </w:tblGrid>
      <w:tr w:rsidR="003B4DAC" w:rsidRPr="000503BB" w14:paraId="4B40B5DD" w14:textId="77777777" w:rsidTr="00166480">
        <w:tc>
          <w:tcPr>
            <w:tcW w:w="3085" w:type="dxa"/>
            <w:tcBorders>
              <w:top w:val="nil"/>
              <w:bottom w:val="single" w:sz="4" w:space="0" w:color="auto"/>
            </w:tcBorders>
          </w:tcPr>
          <w:p w14:paraId="6D58FEA2" w14:textId="77777777" w:rsidR="003B4DAC" w:rsidRPr="000503BB" w:rsidRDefault="003B4DAC" w:rsidP="00166480">
            <w:pPr>
              <w:spacing w:after="0"/>
              <w:jc w:val="center"/>
              <w:rPr>
                <w:rFonts w:cs="Tahoma"/>
                <w:b/>
                <w:color w:val="000000" w:themeColor="text1"/>
                <w:szCs w:val="18"/>
              </w:rPr>
            </w:pPr>
            <w:r w:rsidRPr="000503BB">
              <w:rPr>
                <w:rFonts w:cs="Tahoma"/>
                <w:b/>
                <w:color w:val="000000" w:themeColor="text1"/>
                <w:szCs w:val="18"/>
              </w:rPr>
              <w:t>Sabiedrības dalībnieki</w:t>
            </w:r>
          </w:p>
        </w:tc>
        <w:tc>
          <w:tcPr>
            <w:tcW w:w="1276" w:type="dxa"/>
            <w:tcBorders>
              <w:top w:val="nil"/>
              <w:bottom w:val="single" w:sz="4" w:space="0" w:color="auto"/>
            </w:tcBorders>
          </w:tcPr>
          <w:p w14:paraId="0A2D802B" w14:textId="77777777" w:rsidR="003B4DAC" w:rsidRPr="000503BB" w:rsidRDefault="003B4DAC" w:rsidP="00166480">
            <w:pPr>
              <w:spacing w:after="0"/>
              <w:jc w:val="center"/>
              <w:rPr>
                <w:rFonts w:cs="Tahoma"/>
                <w:b/>
                <w:color w:val="000000" w:themeColor="text1"/>
                <w:szCs w:val="18"/>
              </w:rPr>
            </w:pPr>
            <w:r w:rsidRPr="000503BB">
              <w:rPr>
                <w:rFonts w:cs="Tahoma"/>
                <w:b/>
                <w:color w:val="000000" w:themeColor="text1"/>
                <w:szCs w:val="18"/>
              </w:rPr>
              <w:t>Daļu skaits</w:t>
            </w:r>
          </w:p>
        </w:tc>
        <w:tc>
          <w:tcPr>
            <w:tcW w:w="1843" w:type="dxa"/>
            <w:tcBorders>
              <w:top w:val="nil"/>
              <w:bottom w:val="single" w:sz="4" w:space="0" w:color="auto"/>
            </w:tcBorders>
          </w:tcPr>
          <w:p w14:paraId="0E9ABA15" w14:textId="77777777" w:rsidR="003B4DAC" w:rsidRPr="000503BB" w:rsidRDefault="003B4DAC" w:rsidP="00166480">
            <w:pPr>
              <w:spacing w:after="0"/>
              <w:jc w:val="center"/>
              <w:rPr>
                <w:rFonts w:cs="Tahoma"/>
                <w:b/>
                <w:color w:val="000000" w:themeColor="text1"/>
                <w:szCs w:val="18"/>
              </w:rPr>
            </w:pPr>
            <w:r w:rsidRPr="000503BB">
              <w:rPr>
                <w:rFonts w:cs="Tahoma"/>
                <w:b/>
                <w:color w:val="000000" w:themeColor="text1"/>
                <w:szCs w:val="18"/>
              </w:rPr>
              <w:t>Nominālvērtība EUR</w:t>
            </w:r>
          </w:p>
        </w:tc>
        <w:tc>
          <w:tcPr>
            <w:tcW w:w="1417" w:type="dxa"/>
            <w:tcBorders>
              <w:top w:val="nil"/>
              <w:bottom w:val="single" w:sz="4" w:space="0" w:color="auto"/>
            </w:tcBorders>
          </w:tcPr>
          <w:p w14:paraId="60E15D8A" w14:textId="77777777" w:rsidR="003B4DAC" w:rsidRPr="000503BB" w:rsidRDefault="003B4DAC" w:rsidP="00166480">
            <w:pPr>
              <w:spacing w:after="0"/>
              <w:jc w:val="center"/>
              <w:rPr>
                <w:rFonts w:cs="Tahoma"/>
                <w:b/>
                <w:color w:val="000000" w:themeColor="text1"/>
                <w:szCs w:val="18"/>
              </w:rPr>
            </w:pPr>
            <w:r w:rsidRPr="000503BB">
              <w:rPr>
                <w:rFonts w:cs="Tahoma"/>
                <w:b/>
                <w:color w:val="000000" w:themeColor="text1"/>
                <w:szCs w:val="18"/>
              </w:rPr>
              <w:t>% sadalījums</w:t>
            </w:r>
          </w:p>
        </w:tc>
        <w:tc>
          <w:tcPr>
            <w:tcW w:w="1559" w:type="dxa"/>
            <w:tcBorders>
              <w:top w:val="nil"/>
              <w:bottom w:val="single" w:sz="4" w:space="0" w:color="auto"/>
            </w:tcBorders>
          </w:tcPr>
          <w:p w14:paraId="40CE73E4" w14:textId="77777777" w:rsidR="003B4DAC" w:rsidRPr="000503BB" w:rsidRDefault="003B4DAC" w:rsidP="00166480">
            <w:pPr>
              <w:spacing w:after="0"/>
              <w:jc w:val="center"/>
              <w:rPr>
                <w:rFonts w:cs="Tahoma"/>
                <w:b/>
                <w:color w:val="000000" w:themeColor="text1"/>
                <w:szCs w:val="18"/>
              </w:rPr>
            </w:pPr>
            <w:r w:rsidRPr="000503BB">
              <w:rPr>
                <w:rFonts w:cs="Tahoma"/>
                <w:b/>
                <w:color w:val="000000" w:themeColor="text1"/>
                <w:szCs w:val="18"/>
              </w:rPr>
              <w:t>Summa EUR</w:t>
            </w:r>
          </w:p>
        </w:tc>
      </w:tr>
      <w:tr w:rsidR="003B4DAC" w:rsidRPr="000503BB" w14:paraId="55E26F12" w14:textId="77777777" w:rsidTr="00166480">
        <w:tc>
          <w:tcPr>
            <w:tcW w:w="3085" w:type="dxa"/>
            <w:tcBorders>
              <w:top w:val="single" w:sz="4" w:space="0" w:color="auto"/>
            </w:tcBorders>
          </w:tcPr>
          <w:p w14:paraId="0C8DB66E" w14:textId="77777777" w:rsidR="003B4DAC" w:rsidRPr="000503BB" w:rsidRDefault="003B4DAC" w:rsidP="00166480">
            <w:pPr>
              <w:spacing w:after="0"/>
              <w:rPr>
                <w:rFonts w:cs="Tahoma"/>
                <w:color w:val="000000" w:themeColor="text1"/>
                <w:szCs w:val="18"/>
              </w:rPr>
            </w:pPr>
            <w:r w:rsidRPr="000503BB">
              <w:rPr>
                <w:rFonts w:cs="Tahoma"/>
                <w:color w:val="000000" w:themeColor="text1"/>
                <w:szCs w:val="18"/>
              </w:rPr>
              <w:t>Limbažu novada pašvaldība</w:t>
            </w:r>
          </w:p>
        </w:tc>
        <w:tc>
          <w:tcPr>
            <w:tcW w:w="1276" w:type="dxa"/>
            <w:tcBorders>
              <w:top w:val="single" w:sz="4" w:space="0" w:color="auto"/>
            </w:tcBorders>
          </w:tcPr>
          <w:p w14:paraId="339C56F4" w14:textId="77777777" w:rsidR="003B4DAC" w:rsidRPr="000503BB" w:rsidRDefault="003B4DAC" w:rsidP="00166480">
            <w:pPr>
              <w:spacing w:after="0"/>
              <w:jc w:val="right"/>
              <w:rPr>
                <w:rFonts w:cs="Tahoma"/>
                <w:color w:val="000000" w:themeColor="text1"/>
                <w:szCs w:val="18"/>
              </w:rPr>
            </w:pPr>
            <w:r w:rsidRPr="000503BB">
              <w:rPr>
                <w:rFonts w:cs="Tahoma"/>
                <w:color w:val="000000" w:themeColor="text1"/>
                <w:szCs w:val="18"/>
              </w:rPr>
              <w:t>1</w:t>
            </w:r>
            <w:r>
              <w:rPr>
                <w:rFonts w:cs="Tahoma"/>
                <w:color w:val="000000" w:themeColor="text1"/>
                <w:szCs w:val="18"/>
              </w:rPr>
              <w:t> </w:t>
            </w:r>
            <w:r w:rsidRPr="000503BB">
              <w:rPr>
                <w:rFonts w:cs="Tahoma"/>
                <w:color w:val="000000" w:themeColor="text1"/>
                <w:szCs w:val="18"/>
              </w:rPr>
              <w:t>785</w:t>
            </w:r>
            <w:r>
              <w:rPr>
                <w:rFonts w:cs="Tahoma"/>
                <w:color w:val="000000" w:themeColor="text1"/>
                <w:szCs w:val="18"/>
              </w:rPr>
              <w:t xml:space="preserve"> </w:t>
            </w:r>
            <w:r w:rsidRPr="000503BB">
              <w:rPr>
                <w:rFonts w:cs="Tahoma"/>
                <w:color w:val="000000" w:themeColor="text1"/>
                <w:szCs w:val="18"/>
              </w:rPr>
              <w:t xml:space="preserve">907 </w:t>
            </w:r>
          </w:p>
        </w:tc>
        <w:tc>
          <w:tcPr>
            <w:tcW w:w="1843" w:type="dxa"/>
            <w:tcBorders>
              <w:top w:val="single" w:sz="4" w:space="0" w:color="auto"/>
            </w:tcBorders>
          </w:tcPr>
          <w:p w14:paraId="0FC0A2F0" w14:textId="77777777" w:rsidR="003B4DAC" w:rsidRPr="000503BB" w:rsidRDefault="003B4DAC" w:rsidP="00166480">
            <w:pPr>
              <w:spacing w:after="0"/>
              <w:jc w:val="center"/>
              <w:rPr>
                <w:rFonts w:cs="Tahoma"/>
                <w:color w:val="000000" w:themeColor="text1"/>
                <w:szCs w:val="18"/>
              </w:rPr>
            </w:pPr>
            <w:r w:rsidRPr="000503BB">
              <w:rPr>
                <w:rFonts w:cs="Tahoma"/>
                <w:color w:val="000000" w:themeColor="text1"/>
                <w:szCs w:val="18"/>
              </w:rPr>
              <w:t>1</w:t>
            </w:r>
          </w:p>
        </w:tc>
        <w:tc>
          <w:tcPr>
            <w:tcW w:w="1417" w:type="dxa"/>
            <w:tcBorders>
              <w:top w:val="single" w:sz="4" w:space="0" w:color="auto"/>
            </w:tcBorders>
          </w:tcPr>
          <w:p w14:paraId="6C3791EC" w14:textId="77777777" w:rsidR="003B4DAC" w:rsidRPr="000503BB" w:rsidRDefault="003B4DAC" w:rsidP="00166480">
            <w:pPr>
              <w:spacing w:after="0"/>
              <w:jc w:val="right"/>
              <w:rPr>
                <w:rFonts w:cs="Tahoma"/>
                <w:color w:val="000000" w:themeColor="text1"/>
                <w:szCs w:val="18"/>
              </w:rPr>
            </w:pPr>
            <w:r w:rsidRPr="000503BB">
              <w:rPr>
                <w:rFonts w:cs="Tahoma"/>
                <w:color w:val="000000" w:themeColor="text1"/>
                <w:szCs w:val="18"/>
              </w:rPr>
              <w:t>95.83493</w:t>
            </w:r>
          </w:p>
        </w:tc>
        <w:tc>
          <w:tcPr>
            <w:tcW w:w="1559" w:type="dxa"/>
            <w:tcBorders>
              <w:top w:val="single" w:sz="4" w:space="0" w:color="auto"/>
            </w:tcBorders>
          </w:tcPr>
          <w:p w14:paraId="2AE6088A" w14:textId="77777777" w:rsidR="003B4DAC" w:rsidRPr="000503BB" w:rsidRDefault="003B4DAC" w:rsidP="00166480">
            <w:pPr>
              <w:spacing w:after="0"/>
              <w:jc w:val="right"/>
              <w:rPr>
                <w:rFonts w:cs="Tahoma"/>
                <w:color w:val="000000" w:themeColor="text1"/>
                <w:szCs w:val="18"/>
              </w:rPr>
            </w:pPr>
            <w:r w:rsidRPr="000503BB">
              <w:rPr>
                <w:rFonts w:cs="Tahoma"/>
                <w:color w:val="000000" w:themeColor="text1"/>
                <w:szCs w:val="18"/>
              </w:rPr>
              <w:t>1 785 907</w:t>
            </w:r>
          </w:p>
        </w:tc>
      </w:tr>
      <w:tr w:rsidR="003B4DAC" w:rsidRPr="000503BB" w14:paraId="609A95E9" w14:textId="77777777" w:rsidTr="00166480">
        <w:tc>
          <w:tcPr>
            <w:tcW w:w="3085" w:type="dxa"/>
            <w:tcBorders>
              <w:bottom w:val="single" w:sz="4" w:space="0" w:color="auto"/>
            </w:tcBorders>
          </w:tcPr>
          <w:p w14:paraId="6ACBF6AE" w14:textId="77777777" w:rsidR="003B4DAC" w:rsidRPr="000503BB" w:rsidRDefault="003B4DAC" w:rsidP="00166480">
            <w:pPr>
              <w:spacing w:after="0"/>
              <w:rPr>
                <w:rFonts w:cs="Tahoma"/>
                <w:color w:val="000000" w:themeColor="text1"/>
                <w:szCs w:val="18"/>
              </w:rPr>
            </w:pPr>
            <w:r w:rsidRPr="000503BB">
              <w:rPr>
                <w:rFonts w:cs="Tahoma"/>
                <w:color w:val="000000" w:themeColor="text1"/>
                <w:szCs w:val="18"/>
              </w:rPr>
              <w:t>Siguldas novada dome</w:t>
            </w:r>
          </w:p>
        </w:tc>
        <w:tc>
          <w:tcPr>
            <w:tcW w:w="1276" w:type="dxa"/>
            <w:tcBorders>
              <w:bottom w:val="single" w:sz="4" w:space="0" w:color="auto"/>
            </w:tcBorders>
          </w:tcPr>
          <w:p w14:paraId="2DC355B1" w14:textId="77777777" w:rsidR="003B4DAC" w:rsidRPr="000503BB" w:rsidRDefault="003B4DAC" w:rsidP="00166480">
            <w:pPr>
              <w:spacing w:after="0"/>
              <w:jc w:val="right"/>
              <w:rPr>
                <w:rFonts w:cs="Tahoma"/>
                <w:color w:val="000000" w:themeColor="text1"/>
                <w:szCs w:val="18"/>
              </w:rPr>
            </w:pPr>
            <w:r w:rsidRPr="000503BB">
              <w:rPr>
                <w:rFonts w:cs="Tahoma"/>
                <w:color w:val="000000" w:themeColor="text1"/>
                <w:szCs w:val="18"/>
              </w:rPr>
              <w:t>77 617</w:t>
            </w:r>
          </w:p>
        </w:tc>
        <w:tc>
          <w:tcPr>
            <w:tcW w:w="1843" w:type="dxa"/>
            <w:tcBorders>
              <w:bottom w:val="single" w:sz="4" w:space="0" w:color="auto"/>
            </w:tcBorders>
          </w:tcPr>
          <w:p w14:paraId="39BB311B" w14:textId="77777777" w:rsidR="003B4DAC" w:rsidRPr="000503BB" w:rsidRDefault="003B4DAC" w:rsidP="00166480">
            <w:pPr>
              <w:spacing w:after="0"/>
              <w:jc w:val="center"/>
              <w:rPr>
                <w:rFonts w:cs="Tahoma"/>
                <w:color w:val="000000" w:themeColor="text1"/>
                <w:szCs w:val="18"/>
              </w:rPr>
            </w:pPr>
            <w:r w:rsidRPr="000503BB">
              <w:rPr>
                <w:rFonts w:cs="Tahoma"/>
                <w:color w:val="000000" w:themeColor="text1"/>
                <w:szCs w:val="18"/>
              </w:rPr>
              <w:t>1</w:t>
            </w:r>
          </w:p>
        </w:tc>
        <w:tc>
          <w:tcPr>
            <w:tcW w:w="1417" w:type="dxa"/>
            <w:tcBorders>
              <w:bottom w:val="single" w:sz="4" w:space="0" w:color="auto"/>
            </w:tcBorders>
          </w:tcPr>
          <w:p w14:paraId="5D57AF6D" w14:textId="77777777" w:rsidR="003B4DAC" w:rsidRPr="000503BB" w:rsidRDefault="003B4DAC" w:rsidP="00166480">
            <w:pPr>
              <w:spacing w:after="0"/>
              <w:jc w:val="right"/>
              <w:rPr>
                <w:rFonts w:cs="Tahoma"/>
                <w:color w:val="000000" w:themeColor="text1"/>
                <w:szCs w:val="18"/>
              </w:rPr>
            </w:pPr>
            <w:r w:rsidRPr="000503BB">
              <w:rPr>
                <w:rFonts w:cs="Tahoma"/>
                <w:color w:val="000000" w:themeColor="text1"/>
                <w:szCs w:val="18"/>
              </w:rPr>
              <w:t>4.16507</w:t>
            </w:r>
          </w:p>
        </w:tc>
        <w:tc>
          <w:tcPr>
            <w:tcW w:w="1559" w:type="dxa"/>
            <w:tcBorders>
              <w:bottom w:val="single" w:sz="4" w:space="0" w:color="auto"/>
            </w:tcBorders>
          </w:tcPr>
          <w:p w14:paraId="07F1C18B" w14:textId="77777777" w:rsidR="003B4DAC" w:rsidRPr="000503BB" w:rsidRDefault="003B4DAC" w:rsidP="00166480">
            <w:pPr>
              <w:spacing w:after="0"/>
              <w:jc w:val="right"/>
              <w:rPr>
                <w:rFonts w:cs="Tahoma"/>
                <w:color w:val="000000" w:themeColor="text1"/>
                <w:szCs w:val="18"/>
              </w:rPr>
            </w:pPr>
            <w:r w:rsidRPr="000503BB">
              <w:rPr>
                <w:rFonts w:cs="Tahoma"/>
                <w:color w:val="000000" w:themeColor="text1"/>
                <w:szCs w:val="18"/>
              </w:rPr>
              <w:t>77 617</w:t>
            </w:r>
          </w:p>
        </w:tc>
      </w:tr>
      <w:tr w:rsidR="003B4DAC" w:rsidRPr="000503BB" w14:paraId="3F099597" w14:textId="77777777" w:rsidTr="00166480">
        <w:tc>
          <w:tcPr>
            <w:tcW w:w="3085" w:type="dxa"/>
            <w:tcBorders>
              <w:top w:val="single" w:sz="4" w:space="0" w:color="auto"/>
              <w:bottom w:val="double" w:sz="4" w:space="0" w:color="auto"/>
            </w:tcBorders>
          </w:tcPr>
          <w:p w14:paraId="2575F020" w14:textId="77777777" w:rsidR="003B4DAC" w:rsidRPr="000503BB" w:rsidRDefault="003B4DAC" w:rsidP="00166480">
            <w:pPr>
              <w:spacing w:after="0"/>
              <w:jc w:val="both"/>
              <w:rPr>
                <w:rFonts w:cs="Tahoma"/>
                <w:b/>
                <w:color w:val="000000" w:themeColor="text1"/>
                <w:szCs w:val="18"/>
              </w:rPr>
            </w:pPr>
            <w:r w:rsidRPr="000503BB">
              <w:rPr>
                <w:rFonts w:cs="Tahoma"/>
                <w:b/>
                <w:color w:val="000000" w:themeColor="text1"/>
                <w:szCs w:val="18"/>
              </w:rPr>
              <w:t>Kopā</w:t>
            </w:r>
          </w:p>
        </w:tc>
        <w:tc>
          <w:tcPr>
            <w:tcW w:w="1276" w:type="dxa"/>
            <w:tcBorders>
              <w:top w:val="single" w:sz="4" w:space="0" w:color="auto"/>
              <w:bottom w:val="double" w:sz="4" w:space="0" w:color="auto"/>
            </w:tcBorders>
          </w:tcPr>
          <w:p w14:paraId="3889C55B" w14:textId="77777777" w:rsidR="003B4DAC" w:rsidRPr="000503BB" w:rsidRDefault="003B4DAC" w:rsidP="00166480">
            <w:pPr>
              <w:spacing w:after="0"/>
              <w:jc w:val="right"/>
              <w:rPr>
                <w:rFonts w:cs="Tahoma"/>
                <w:b/>
                <w:color w:val="000000" w:themeColor="text1"/>
                <w:szCs w:val="18"/>
              </w:rPr>
            </w:pPr>
            <w:r w:rsidRPr="000503BB">
              <w:rPr>
                <w:rFonts w:cs="Tahoma"/>
                <w:b/>
                <w:color w:val="000000" w:themeColor="text1"/>
                <w:szCs w:val="18"/>
              </w:rPr>
              <w:t>1 863 524</w:t>
            </w:r>
          </w:p>
        </w:tc>
        <w:tc>
          <w:tcPr>
            <w:tcW w:w="1843" w:type="dxa"/>
            <w:tcBorders>
              <w:top w:val="single" w:sz="4" w:space="0" w:color="auto"/>
              <w:bottom w:val="double" w:sz="4" w:space="0" w:color="auto"/>
            </w:tcBorders>
          </w:tcPr>
          <w:p w14:paraId="186503B6" w14:textId="77777777" w:rsidR="003B4DAC" w:rsidRPr="000503BB" w:rsidRDefault="003B4DAC" w:rsidP="00166480">
            <w:pPr>
              <w:spacing w:after="0"/>
              <w:jc w:val="center"/>
              <w:rPr>
                <w:rFonts w:cs="Tahoma"/>
                <w:b/>
                <w:color w:val="000000" w:themeColor="text1"/>
                <w:szCs w:val="18"/>
              </w:rPr>
            </w:pPr>
            <w:r w:rsidRPr="000503BB">
              <w:rPr>
                <w:rFonts w:cs="Tahoma"/>
                <w:b/>
                <w:color w:val="000000" w:themeColor="text1"/>
                <w:szCs w:val="18"/>
              </w:rPr>
              <w:t>1</w:t>
            </w:r>
          </w:p>
        </w:tc>
        <w:tc>
          <w:tcPr>
            <w:tcW w:w="1417" w:type="dxa"/>
            <w:tcBorders>
              <w:top w:val="single" w:sz="4" w:space="0" w:color="auto"/>
              <w:bottom w:val="double" w:sz="4" w:space="0" w:color="auto"/>
            </w:tcBorders>
          </w:tcPr>
          <w:p w14:paraId="764C13D0" w14:textId="77777777" w:rsidR="003B4DAC" w:rsidRPr="000503BB" w:rsidRDefault="003B4DAC" w:rsidP="00166480">
            <w:pPr>
              <w:spacing w:after="0"/>
              <w:jc w:val="right"/>
              <w:rPr>
                <w:rFonts w:cs="Tahoma"/>
                <w:b/>
                <w:color w:val="000000" w:themeColor="text1"/>
                <w:szCs w:val="18"/>
              </w:rPr>
            </w:pPr>
            <w:r w:rsidRPr="000503BB">
              <w:rPr>
                <w:rFonts w:cs="Tahoma"/>
                <w:b/>
                <w:color w:val="000000" w:themeColor="text1"/>
                <w:szCs w:val="18"/>
              </w:rPr>
              <w:t>100.00</w:t>
            </w:r>
          </w:p>
        </w:tc>
        <w:tc>
          <w:tcPr>
            <w:tcW w:w="1559" w:type="dxa"/>
            <w:tcBorders>
              <w:top w:val="single" w:sz="4" w:space="0" w:color="auto"/>
              <w:bottom w:val="double" w:sz="4" w:space="0" w:color="auto"/>
            </w:tcBorders>
          </w:tcPr>
          <w:p w14:paraId="5FA10354" w14:textId="77777777" w:rsidR="003B4DAC" w:rsidRPr="000503BB" w:rsidRDefault="003B4DAC" w:rsidP="00166480">
            <w:pPr>
              <w:spacing w:after="0"/>
              <w:jc w:val="right"/>
              <w:rPr>
                <w:rFonts w:cs="Tahoma"/>
                <w:b/>
                <w:color w:val="000000" w:themeColor="text1"/>
                <w:szCs w:val="18"/>
              </w:rPr>
            </w:pPr>
            <w:r w:rsidRPr="000503BB">
              <w:rPr>
                <w:rFonts w:cs="Tahoma"/>
                <w:b/>
                <w:color w:val="000000" w:themeColor="text1"/>
                <w:szCs w:val="18"/>
              </w:rPr>
              <w:t>1 863 524</w:t>
            </w:r>
          </w:p>
        </w:tc>
      </w:tr>
    </w:tbl>
    <w:p w14:paraId="49C07EFA" w14:textId="77777777" w:rsidR="003B4DAC" w:rsidRPr="00085AA6" w:rsidRDefault="003B4DAC" w:rsidP="003B4DAC">
      <w:pPr>
        <w:spacing w:before="120" w:after="120"/>
        <w:jc w:val="both"/>
        <w:rPr>
          <w:rFonts w:cs="Tahoma"/>
          <w:b/>
          <w:color w:val="FF0000"/>
          <w:szCs w:val="18"/>
        </w:rPr>
      </w:pPr>
    </w:p>
    <w:p w14:paraId="78D4250B" w14:textId="7074DA4F" w:rsidR="003B4DAC" w:rsidRPr="00A84647" w:rsidRDefault="003B4DAC" w:rsidP="003B4DAC">
      <w:pPr>
        <w:jc w:val="both"/>
        <w:rPr>
          <w:rFonts w:cs="Tahoma"/>
          <w:b/>
          <w:szCs w:val="18"/>
        </w:rPr>
      </w:pPr>
      <w:r w:rsidRPr="00A84647">
        <w:rPr>
          <w:rFonts w:cs="Tahoma"/>
          <w:b/>
          <w:szCs w:val="18"/>
        </w:rPr>
        <w:t>Notikumi pēc bilances datuma</w:t>
      </w:r>
    </w:p>
    <w:p w14:paraId="7D9E0A3B" w14:textId="037B7AB8" w:rsidR="003B4DAC" w:rsidRPr="00E81D83" w:rsidRDefault="003B4DAC" w:rsidP="003B4DAC">
      <w:pPr>
        <w:jc w:val="both"/>
        <w:rPr>
          <w:rFonts w:cs="Tahoma"/>
          <w:color w:val="000000" w:themeColor="text1"/>
          <w:szCs w:val="18"/>
        </w:rPr>
      </w:pPr>
      <w:r w:rsidRPr="00E81D83">
        <w:rPr>
          <w:rFonts w:cs="Tahoma"/>
          <w:color w:val="000000" w:themeColor="text1"/>
          <w:szCs w:val="18"/>
        </w:rPr>
        <w:t>Laika posmā no pārskata gada pēdējās dienas līdz šī finanšu pārskata parakstīšanas datumam nav bijuši nekādi  notikumi, kuru rezultātā šajā finanšu pārskatā būtu jāveic korekcijas vai jāatklāj papildus informācija.</w:t>
      </w:r>
    </w:p>
    <w:p w14:paraId="32FB87B9" w14:textId="77777777" w:rsidR="003B4DAC" w:rsidRPr="006267EE" w:rsidRDefault="003B4DAC" w:rsidP="003B4DAC">
      <w:pPr>
        <w:spacing w:before="120" w:after="120"/>
        <w:jc w:val="both"/>
        <w:rPr>
          <w:rFonts w:cs="Tahoma"/>
          <w:szCs w:val="18"/>
        </w:rPr>
      </w:pPr>
    </w:p>
    <w:p w14:paraId="76929BA5" w14:textId="77777777" w:rsidR="003B4DAC" w:rsidRPr="006267EE" w:rsidRDefault="003B4DAC" w:rsidP="003B4DAC">
      <w:pPr>
        <w:spacing w:before="120" w:after="120"/>
        <w:jc w:val="both"/>
        <w:rPr>
          <w:rFonts w:cs="Tahoma"/>
          <w:szCs w:val="18"/>
        </w:rPr>
      </w:pPr>
    </w:p>
    <w:sectPr w:rsidR="003B4DAC" w:rsidRPr="006267EE" w:rsidSect="002C254E">
      <w:headerReference w:type="default" r:id="rId19"/>
      <w:footerReference w:type="default" r:id="rId20"/>
      <w:pgSz w:w="11906" w:h="16838"/>
      <w:pgMar w:top="1440" w:right="1440" w:bottom="142"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774E4" w14:textId="77777777" w:rsidR="00FD6A8D" w:rsidRDefault="00FD6A8D" w:rsidP="0064306F">
      <w:pPr>
        <w:spacing w:after="0" w:line="240" w:lineRule="auto"/>
      </w:pPr>
      <w:r>
        <w:separator/>
      </w:r>
    </w:p>
  </w:endnote>
  <w:endnote w:type="continuationSeparator" w:id="0">
    <w:p w14:paraId="7B84F387" w14:textId="77777777" w:rsidR="00FD6A8D" w:rsidRDefault="00FD6A8D" w:rsidP="00643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Mangal">
    <w:altName w:val="Nirmala UI"/>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G Times">
    <w:charset w:val="00"/>
    <w:family w:val="roman"/>
    <w:pitch w:val="variable"/>
    <w:sig w:usb0="00000003" w:usb1="00000000" w:usb2="00000000" w:usb3="00000000" w:csb0="00000001"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668392"/>
      <w:docPartObj>
        <w:docPartGallery w:val="Page Numbers (Bottom of Page)"/>
        <w:docPartUnique/>
      </w:docPartObj>
    </w:sdtPr>
    <w:sdtEndPr>
      <w:rPr>
        <w:noProof/>
      </w:rPr>
    </w:sdtEndPr>
    <w:sdtContent>
      <w:p w14:paraId="5DE21A63" w14:textId="77777777" w:rsidR="00C86299" w:rsidRDefault="00C86299">
        <w:pPr>
          <w:pStyle w:val="Kjene"/>
          <w:jc w:val="right"/>
        </w:pPr>
        <w:r>
          <w:fldChar w:fldCharType="begin"/>
        </w:r>
        <w:r>
          <w:instrText xml:space="preserve"> PAGE   \* MERGEFORMAT </w:instrText>
        </w:r>
        <w:r>
          <w:fldChar w:fldCharType="separate"/>
        </w:r>
        <w:r w:rsidR="00825269">
          <w:rPr>
            <w:noProof/>
          </w:rPr>
          <w:t>29</w:t>
        </w:r>
        <w:r>
          <w:rPr>
            <w:noProof/>
          </w:rPr>
          <w:fldChar w:fldCharType="end"/>
        </w:r>
      </w:p>
    </w:sdtContent>
  </w:sdt>
  <w:p w14:paraId="461B4399" w14:textId="77777777" w:rsidR="00C86299" w:rsidRDefault="00C8629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7D74A" w14:textId="77777777" w:rsidR="00FD6A8D" w:rsidRDefault="00FD6A8D" w:rsidP="0064306F">
      <w:pPr>
        <w:spacing w:after="0" w:line="240" w:lineRule="auto"/>
      </w:pPr>
      <w:r>
        <w:separator/>
      </w:r>
    </w:p>
  </w:footnote>
  <w:footnote w:type="continuationSeparator" w:id="0">
    <w:p w14:paraId="45AF0991" w14:textId="77777777" w:rsidR="00FD6A8D" w:rsidRDefault="00FD6A8D" w:rsidP="00643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1100" w14:textId="3D085FDD" w:rsidR="00C86299" w:rsidRPr="00887DB2" w:rsidRDefault="00C86299" w:rsidP="00A84647">
    <w:pPr>
      <w:pStyle w:val="Galvene"/>
      <w:spacing w:after="0" w:line="240" w:lineRule="auto"/>
      <w:jc w:val="center"/>
      <w:rPr>
        <w:rFonts w:cs="Tahoma"/>
        <w:color w:val="575756"/>
        <w:sz w:val="14"/>
        <w:szCs w:val="14"/>
        <w:lang w:val="en-GB"/>
      </w:rPr>
    </w:pPr>
    <w:r w:rsidRPr="00B411E7">
      <w:rPr>
        <w:b/>
        <w:bCs/>
        <w:noProof/>
      </w:rPr>
      <w:drawing>
        <wp:anchor distT="0" distB="0" distL="114300" distR="114300" simplePos="0" relativeHeight="251657728" behindDoc="1" locked="0" layoutInCell="1" allowOverlap="1" wp14:anchorId="3B592012" wp14:editId="6530355E">
          <wp:simplePos x="0" y="0"/>
          <wp:positionH relativeFrom="column">
            <wp:posOffset>4719955</wp:posOffset>
          </wp:positionH>
          <wp:positionV relativeFrom="paragraph">
            <wp:posOffset>-139065</wp:posOffset>
          </wp:positionV>
          <wp:extent cx="791845" cy="697230"/>
          <wp:effectExtent l="0" t="0" r="8255" b="0"/>
          <wp:wrapTight wrapText="bothSides">
            <wp:wrapPolygon edited="0">
              <wp:start x="3638" y="1180"/>
              <wp:lineTo x="1559" y="4131"/>
              <wp:lineTo x="520" y="7672"/>
              <wp:lineTo x="0" y="15344"/>
              <wp:lineTo x="0" y="19475"/>
              <wp:lineTo x="7795" y="20656"/>
              <wp:lineTo x="10393" y="20656"/>
              <wp:lineTo x="14030" y="19475"/>
              <wp:lineTo x="21306" y="14164"/>
              <wp:lineTo x="21306" y="10033"/>
              <wp:lineTo x="14550" y="1180"/>
              <wp:lineTo x="3638" y="1180"/>
            </wp:wrapPolygon>
          </wp:wrapTight>
          <wp:docPr id="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user_2\Desktop\logo-tv-logo.png"/>
                  <pic:cNvPicPr>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845"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B411E7" w:rsidRPr="00B411E7">
      <w:rPr>
        <w:rFonts w:cs="Tahoma"/>
        <w:b/>
        <w:bCs/>
        <w:color w:val="575756"/>
        <w:sz w:val="14"/>
        <w:szCs w:val="14"/>
        <w:lang w:val="en-GB"/>
      </w:rPr>
      <w:t>OPERATĪVAIS</w:t>
    </w:r>
    <w:r w:rsidR="00AC1DDD">
      <w:rPr>
        <w:rFonts w:cs="Tahoma"/>
        <w:b/>
        <w:bCs/>
        <w:color w:val="575756"/>
        <w:sz w:val="14"/>
        <w:szCs w:val="14"/>
        <w:lang w:val="en-GB"/>
      </w:rPr>
      <w:t xml:space="preserve"> </w:t>
    </w:r>
    <w:r>
      <w:rPr>
        <w:rFonts w:cs="Tahoma"/>
        <w:color w:val="575756"/>
        <w:sz w:val="14"/>
        <w:szCs w:val="14"/>
        <w:lang w:val="en-GB"/>
      </w:rPr>
      <w:t>Sabiedrība ar ierobežotu atbildību “Limbažu slimnīca”</w:t>
    </w:r>
    <w:r w:rsidRPr="00B15DF8">
      <w:rPr>
        <w:noProof/>
      </w:rPr>
      <w:t xml:space="preserve"> </w:t>
    </w:r>
  </w:p>
  <w:p w14:paraId="1C9CDCF5" w14:textId="77777777" w:rsidR="00C86299" w:rsidRDefault="00C86299" w:rsidP="00A84647">
    <w:pPr>
      <w:pStyle w:val="Galvene"/>
      <w:spacing w:after="0" w:line="240" w:lineRule="auto"/>
      <w:jc w:val="center"/>
      <w:rPr>
        <w:rFonts w:cs="Tahoma"/>
        <w:color w:val="575756"/>
        <w:sz w:val="14"/>
        <w:szCs w:val="14"/>
        <w:lang w:val="en-GB"/>
      </w:rPr>
    </w:pPr>
    <w:r>
      <w:rPr>
        <w:rFonts w:cs="Tahoma"/>
        <w:color w:val="575756"/>
        <w:sz w:val="14"/>
        <w:szCs w:val="14"/>
        <w:lang w:val="en-GB"/>
      </w:rPr>
      <w:t>reģ. Nr. 40003361616</w:t>
    </w:r>
  </w:p>
  <w:p w14:paraId="48D56013" w14:textId="783864AD" w:rsidR="00C86299" w:rsidRDefault="00C86299" w:rsidP="00A84647">
    <w:pPr>
      <w:pStyle w:val="Galvene"/>
      <w:spacing w:after="0" w:line="240" w:lineRule="auto"/>
      <w:jc w:val="center"/>
      <w:rPr>
        <w:rFonts w:cs="Tahoma"/>
        <w:color w:val="575756"/>
        <w:sz w:val="14"/>
        <w:szCs w:val="14"/>
        <w:lang w:val="en-GB"/>
      </w:rPr>
    </w:pPr>
    <w:r>
      <w:rPr>
        <w:rFonts w:cs="Tahoma"/>
        <w:color w:val="575756"/>
        <w:sz w:val="14"/>
        <w:szCs w:val="14"/>
        <w:lang w:val="en-GB"/>
      </w:rPr>
      <w:t xml:space="preserve">Klostera iela 3, Limbaži, </w:t>
    </w:r>
    <w:r w:rsidR="007F7069" w:rsidRPr="00544870">
      <w:rPr>
        <w:rFonts w:cs="Tahoma"/>
        <w:color w:val="575756"/>
        <w:sz w:val="14"/>
        <w:szCs w:val="14"/>
        <w:lang w:val="en-GB"/>
      </w:rPr>
      <w:t>Limbažu nov.,</w:t>
    </w:r>
    <w:r w:rsidR="007F7069" w:rsidRPr="007F7069">
      <w:rPr>
        <w:rFonts w:cs="Tahoma"/>
        <w:color w:val="575756"/>
        <w:sz w:val="14"/>
        <w:szCs w:val="14"/>
        <w:lang w:val="en-GB"/>
      </w:rPr>
      <w:t xml:space="preserve"> </w:t>
    </w:r>
    <w:r>
      <w:rPr>
        <w:rFonts w:cs="Tahoma"/>
        <w:color w:val="575756"/>
        <w:sz w:val="14"/>
        <w:szCs w:val="14"/>
        <w:lang w:val="en-GB"/>
      </w:rPr>
      <w:t>LV 4001</w:t>
    </w:r>
  </w:p>
  <w:p w14:paraId="3CD384CE" w14:textId="012CFC65" w:rsidR="00C86299" w:rsidRPr="00887DB2" w:rsidRDefault="00C86299" w:rsidP="00A84647">
    <w:pPr>
      <w:pStyle w:val="Galvene"/>
      <w:spacing w:after="0" w:line="240" w:lineRule="auto"/>
      <w:jc w:val="center"/>
      <w:rPr>
        <w:rFonts w:cs="Tahoma"/>
        <w:color w:val="575756"/>
        <w:sz w:val="14"/>
        <w:szCs w:val="14"/>
        <w:lang w:val="en-GB"/>
      </w:rPr>
    </w:pPr>
    <w:r>
      <w:rPr>
        <w:rFonts w:cs="Tahoma"/>
        <w:color w:val="575756"/>
        <w:sz w:val="14"/>
        <w:szCs w:val="14"/>
        <w:lang w:val="en-GB"/>
      </w:rPr>
      <w:t>202</w:t>
    </w:r>
    <w:r w:rsidR="00B411E7">
      <w:rPr>
        <w:rFonts w:cs="Tahoma"/>
        <w:color w:val="575756"/>
        <w:sz w:val="14"/>
        <w:szCs w:val="14"/>
        <w:lang w:val="en-GB"/>
      </w:rPr>
      <w:t>2</w:t>
    </w:r>
    <w:r>
      <w:rPr>
        <w:rFonts w:cs="Tahoma"/>
        <w:color w:val="575756"/>
        <w:sz w:val="14"/>
        <w:szCs w:val="14"/>
        <w:lang w:val="en-GB"/>
      </w:rPr>
      <w:t>. gada</w:t>
    </w:r>
    <w:r w:rsidR="00D85AFA">
      <w:rPr>
        <w:rFonts w:cs="Tahoma"/>
        <w:color w:val="575756"/>
        <w:sz w:val="14"/>
        <w:szCs w:val="14"/>
        <w:lang w:val="en-GB"/>
      </w:rPr>
      <w:t xml:space="preserve"> 1. Ceturkšņa </w:t>
    </w:r>
    <w:r>
      <w:rPr>
        <w:rFonts w:cs="Tahoma"/>
        <w:color w:val="575756"/>
        <w:sz w:val="14"/>
        <w:szCs w:val="14"/>
        <w:lang w:val="en-GB"/>
      </w:rPr>
      <w:t xml:space="preserve"> pārskats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59FD"/>
    <w:multiLevelType w:val="hybridMultilevel"/>
    <w:tmpl w:val="5C2436BA"/>
    <w:lvl w:ilvl="0" w:tplc="0426000F">
      <w:start w:val="27"/>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B590198"/>
    <w:multiLevelType w:val="hybridMultilevel"/>
    <w:tmpl w:val="D9146824"/>
    <w:lvl w:ilvl="0" w:tplc="C34A7DA6">
      <w:start w:val="4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5573E7"/>
    <w:multiLevelType w:val="hybridMultilevel"/>
    <w:tmpl w:val="715656BA"/>
    <w:lvl w:ilvl="0" w:tplc="E72AE87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673240"/>
    <w:multiLevelType w:val="hybridMultilevel"/>
    <w:tmpl w:val="EB0024D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BB6900"/>
    <w:multiLevelType w:val="hybridMultilevel"/>
    <w:tmpl w:val="C27EE458"/>
    <w:lvl w:ilvl="0" w:tplc="B420B340">
      <w:start w:val="1"/>
      <w:numFmt w:val="decimal"/>
      <w:lvlText w:val="%1."/>
      <w:lvlJc w:val="left"/>
      <w:pPr>
        <w:ind w:left="720" w:hanging="360"/>
      </w:pPr>
      <w:rPr>
        <w:rFonts w:ascii="Tahoma" w:hAnsi="Tahoma" w:cs="Tahoma" w:hint="default"/>
        <w:b/>
        <w:sz w:val="18"/>
        <w:szCs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7C2DA7"/>
    <w:multiLevelType w:val="hybridMultilevel"/>
    <w:tmpl w:val="6960FFB8"/>
    <w:lvl w:ilvl="0" w:tplc="96A01150">
      <w:start w:val="3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033BF9"/>
    <w:multiLevelType w:val="hybridMultilevel"/>
    <w:tmpl w:val="D630786E"/>
    <w:lvl w:ilvl="0" w:tplc="A476D624">
      <w:start w:val="3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A46904"/>
    <w:multiLevelType w:val="hybridMultilevel"/>
    <w:tmpl w:val="5D04EE78"/>
    <w:lvl w:ilvl="0" w:tplc="57E0879E">
      <w:start w:val="65"/>
      <w:numFmt w:val="decimal"/>
      <w:lvlText w:val="%1"/>
      <w:lvlJc w:val="left"/>
      <w:pPr>
        <w:ind w:left="720" w:hanging="360"/>
      </w:pPr>
      <w:rPr>
        <w:rFonts w:hint="default"/>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3D1089"/>
    <w:multiLevelType w:val="hybridMultilevel"/>
    <w:tmpl w:val="2ED29C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68D3ADD"/>
    <w:multiLevelType w:val="hybridMultilevel"/>
    <w:tmpl w:val="AF7827AA"/>
    <w:lvl w:ilvl="0" w:tplc="2506BFFC">
      <w:start w:val="1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DC1109"/>
    <w:multiLevelType w:val="hybridMultilevel"/>
    <w:tmpl w:val="94F62778"/>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A2271AD"/>
    <w:multiLevelType w:val="hybridMultilevel"/>
    <w:tmpl w:val="8892C3CE"/>
    <w:lvl w:ilvl="0" w:tplc="2E0CFCD2">
      <w:start w:val="16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D8C573F"/>
    <w:multiLevelType w:val="hybridMultilevel"/>
    <w:tmpl w:val="58E4988E"/>
    <w:lvl w:ilvl="0" w:tplc="24423BF4">
      <w:start w:val="25"/>
      <w:numFmt w:val="decimal"/>
      <w:lvlText w:val="%1."/>
      <w:lvlJc w:val="left"/>
      <w:pPr>
        <w:ind w:left="720" w:hanging="360"/>
      </w:pPr>
      <w:rPr>
        <w:rFonts w:ascii="Tahoma" w:hAnsi="Tahoma" w:cs="Tahoma"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13A5C24"/>
    <w:multiLevelType w:val="hybridMultilevel"/>
    <w:tmpl w:val="AA6ECE64"/>
    <w:lvl w:ilvl="0" w:tplc="B9FA4F5A">
      <w:start w:val="3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88F29D7"/>
    <w:multiLevelType w:val="hybridMultilevel"/>
    <w:tmpl w:val="0CFC6CCC"/>
    <w:lvl w:ilvl="0" w:tplc="45C06442">
      <w:start w:val="1"/>
      <w:numFmt w:val="bullet"/>
      <w:lvlText w:val=""/>
      <w:lvlJc w:val="left"/>
      <w:pPr>
        <w:tabs>
          <w:tab w:val="num" w:pos="1800"/>
        </w:tabs>
        <w:ind w:left="1800" w:hanging="360"/>
      </w:pPr>
      <w:rPr>
        <w:rFonts w:ascii="Symbol" w:hAnsi="Symbol" w:hint="default"/>
        <w:sz w:val="22"/>
        <w:szCs w:val="22"/>
      </w:rPr>
    </w:lvl>
    <w:lvl w:ilvl="1" w:tplc="04260003" w:tentative="1">
      <w:start w:val="1"/>
      <w:numFmt w:val="bullet"/>
      <w:lvlText w:val="o"/>
      <w:lvlJc w:val="left"/>
      <w:pPr>
        <w:tabs>
          <w:tab w:val="num" w:pos="2520"/>
        </w:tabs>
        <w:ind w:left="2520" w:hanging="360"/>
      </w:pPr>
      <w:rPr>
        <w:rFonts w:ascii="Courier New" w:hAnsi="Courier New" w:cs="Courier New"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cs="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cs="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5F405ABB"/>
    <w:multiLevelType w:val="hybridMultilevel"/>
    <w:tmpl w:val="EDBCDC26"/>
    <w:lvl w:ilvl="0" w:tplc="04260017">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6179350F"/>
    <w:multiLevelType w:val="hybridMultilevel"/>
    <w:tmpl w:val="5E0ECA84"/>
    <w:lvl w:ilvl="0" w:tplc="79786AF2">
      <w:start w:val="3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24375C1"/>
    <w:multiLevelType w:val="hybridMultilevel"/>
    <w:tmpl w:val="1FA6A5CC"/>
    <w:lvl w:ilvl="0" w:tplc="536497A6">
      <w:start w:val="1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3AC0132"/>
    <w:multiLevelType w:val="hybridMultilevel"/>
    <w:tmpl w:val="66F8CE84"/>
    <w:lvl w:ilvl="0" w:tplc="04260001">
      <w:start w:val="1"/>
      <w:numFmt w:val="bullet"/>
      <w:lvlText w:val=""/>
      <w:lvlJc w:val="left"/>
      <w:pPr>
        <w:ind w:left="720" w:hanging="360"/>
      </w:pPr>
      <w:rPr>
        <w:rFonts w:ascii="Symbol" w:hAnsi="Symbol" w:hint="default"/>
      </w:rPr>
    </w:lvl>
    <w:lvl w:ilvl="1" w:tplc="4AE47DDE">
      <w:numFmt w:val="bullet"/>
      <w:lvlText w:val="-"/>
      <w:lvlJc w:val="left"/>
      <w:pPr>
        <w:ind w:left="1440" w:hanging="360"/>
      </w:pPr>
      <w:rPr>
        <w:rFonts w:ascii="Tahoma" w:eastAsia="Times New Roman" w:hAnsi="Tahoma" w:cs="Tahoma"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C3C0789"/>
    <w:multiLevelType w:val="hybridMultilevel"/>
    <w:tmpl w:val="D96A43F2"/>
    <w:lvl w:ilvl="0" w:tplc="DBDC2892">
      <w:start w:val="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0AB2FEF"/>
    <w:multiLevelType w:val="hybridMultilevel"/>
    <w:tmpl w:val="27C88D4A"/>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2C118F2"/>
    <w:multiLevelType w:val="hybridMultilevel"/>
    <w:tmpl w:val="1E620D74"/>
    <w:lvl w:ilvl="0" w:tplc="690665D0">
      <w:start w:val="25"/>
      <w:numFmt w:val="decimal"/>
      <w:lvlText w:val="%1."/>
      <w:lvlJc w:val="left"/>
      <w:pPr>
        <w:ind w:left="786" w:hanging="360"/>
      </w:pPr>
      <w:rPr>
        <w:rFonts w:ascii="Tahoma" w:hAnsi="Tahoma" w:cs="Tahoma" w:hint="default"/>
        <w:b/>
        <w:sz w:val="18"/>
        <w:szCs w:val="18"/>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77804803"/>
    <w:multiLevelType w:val="hybridMultilevel"/>
    <w:tmpl w:val="C27EE458"/>
    <w:lvl w:ilvl="0" w:tplc="FFFFFFFF">
      <w:start w:val="1"/>
      <w:numFmt w:val="decimal"/>
      <w:lvlText w:val="%1."/>
      <w:lvlJc w:val="left"/>
      <w:pPr>
        <w:ind w:left="720" w:hanging="360"/>
      </w:pPr>
      <w:rPr>
        <w:rFonts w:ascii="Tahoma" w:hAnsi="Tahoma" w:cs="Tahoma" w:hint="default"/>
        <w:b/>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46612050">
    <w:abstractNumId w:val="18"/>
  </w:num>
  <w:num w:numId="2" w16cid:durableId="114570581">
    <w:abstractNumId w:val="3"/>
  </w:num>
  <w:num w:numId="3" w16cid:durableId="1893343359">
    <w:abstractNumId w:val="8"/>
  </w:num>
  <w:num w:numId="4" w16cid:durableId="2051805596">
    <w:abstractNumId w:val="4"/>
  </w:num>
  <w:num w:numId="5" w16cid:durableId="1537616418">
    <w:abstractNumId w:val="14"/>
  </w:num>
  <w:num w:numId="6" w16cid:durableId="1056663758">
    <w:abstractNumId w:val="7"/>
  </w:num>
  <w:num w:numId="7" w16cid:durableId="967128224">
    <w:abstractNumId w:val="1"/>
  </w:num>
  <w:num w:numId="8" w16cid:durableId="1316684336">
    <w:abstractNumId w:val="16"/>
  </w:num>
  <w:num w:numId="9" w16cid:durableId="1003244903">
    <w:abstractNumId w:val="2"/>
  </w:num>
  <w:num w:numId="10" w16cid:durableId="1858302729">
    <w:abstractNumId w:val="11"/>
  </w:num>
  <w:num w:numId="11" w16cid:durableId="814957071">
    <w:abstractNumId w:val="9"/>
  </w:num>
  <w:num w:numId="12" w16cid:durableId="1080903252">
    <w:abstractNumId w:val="19"/>
  </w:num>
  <w:num w:numId="13" w16cid:durableId="78917614">
    <w:abstractNumId w:val="6"/>
  </w:num>
  <w:num w:numId="14" w16cid:durableId="261961461">
    <w:abstractNumId w:val="5"/>
  </w:num>
  <w:num w:numId="15" w16cid:durableId="135492930">
    <w:abstractNumId w:val="13"/>
  </w:num>
  <w:num w:numId="16" w16cid:durableId="592662252">
    <w:abstractNumId w:val="21"/>
  </w:num>
  <w:num w:numId="17" w16cid:durableId="99494601">
    <w:abstractNumId w:val="12"/>
  </w:num>
  <w:num w:numId="18" w16cid:durableId="1836458535">
    <w:abstractNumId w:val="0"/>
  </w:num>
  <w:num w:numId="19" w16cid:durableId="1634752634">
    <w:abstractNumId w:val="22"/>
  </w:num>
  <w:num w:numId="20" w16cid:durableId="470446581">
    <w:abstractNumId w:val="17"/>
  </w:num>
  <w:num w:numId="21" w16cid:durableId="532959091">
    <w:abstractNumId w:val="10"/>
  </w:num>
  <w:num w:numId="22" w16cid:durableId="1245795038">
    <w:abstractNumId w:val="20"/>
  </w:num>
  <w:num w:numId="23" w16cid:durableId="125239621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displayVerticalDrawingGridEvery w:val="2"/>
  <w:characterSpacingControl w:val="doNotCompress"/>
  <w:hdrShapeDefaults>
    <o:shapedefaults v:ext="edit" spidmax="2050">
      <o:colormru v:ext="edit" colors="#f6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06F"/>
    <w:rsid w:val="000006BE"/>
    <w:rsid w:val="00000C09"/>
    <w:rsid w:val="00002B16"/>
    <w:rsid w:val="00002CEE"/>
    <w:rsid w:val="00003281"/>
    <w:rsid w:val="0000369E"/>
    <w:rsid w:val="00003C05"/>
    <w:rsid w:val="0000485D"/>
    <w:rsid w:val="00005DA2"/>
    <w:rsid w:val="000068DC"/>
    <w:rsid w:val="00010C3C"/>
    <w:rsid w:val="00010D88"/>
    <w:rsid w:val="00011745"/>
    <w:rsid w:val="0001210E"/>
    <w:rsid w:val="00012314"/>
    <w:rsid w:val="00012690"/>
    <w:rsid w:val="00012FF2"/>
    <w:rsid w:val="000161A5"/>
    <w:rsid w:val="00016202"/>
    <w:rsid w:val="00016CF5"/>
    <w:rsid w:val="00016FCF"/>
    <w:rsid w:val="000178D1"/>
    <w:rsid w:val="00017B81"/>
    <w:rsid w:val="0002128B"/>
    <w:rsid w:val="00022437"/>
    <w:rsid w:val="00023208"/>
    <w:rsid w:val="0002381D"/>
    <w:rsid w:val="0002407C"/>
    <w:rsid w:val="000244B4"/>
    <w:rsid w:val="0002686A"/>
    <w:rsid w:val="00026D45"/>
    <w:rsid w:val="00027224"/>
    <w:rsid w:val="000275EA"/>
    <w:rsid w:val="00031314"/>
    <w:rsid w:val="00031405"/>
    <w:rsid w:val="0003242A"/>
    <w:rsid w:val="000331BD"/>
    <w:rsid w:val="00033C13"/>
    <w:rsid w:val="00035046"/>
    <w:rsid w:val="0003548B"/>
    <w:rsid w:val="0003601E"/>
    <w:rsid w:val="00036044"/>
    <w:rsid w:val="000367E8"/>
    <w:rsid w:val="0003708B"/>
    <w:rsid w:val="00037331"/>
    <w:rsid w:val="00037355"/>
    <w:rsid w:val="000374D2"/>
    <w:rsid w:val="000431AE"/>
    <w:rsid w:val="000432CA"/>
    <w:rsid w:val="0004391F"/>
    <w:rsid w:val="00044956"/>
    <w:rsid w:val="000459C4"/>
    <w:rsid w:val="00045AE4"/>
    <w:rsid w:val="00047C47"/>
    <w:rsid w:val="000501D6"/>
    <w:rsid w:val="000503BB"/>
    <w:rsid w:val="00050447"/>
    <w:rsid w:val="00053536"/>
    <w:rsid w:val="0005471C"/>
    <w:rsid w:val="00054AE9"/>
    <w:rsid w:val="00055290"/>
    <w:rsid w:val="000562F6"/>
    <w:rsid w:val="0006026A"/>
    <w:rsid w:val="00060A19"/>
    <w:rsid w:val="00062376"/>
    <w:rsid w:val="00063031"/>
    <w:rsid w:val="000638F1"/>
    <w:rsid w:val="000670A1"/>
    <w:rsid w:val="00067F87"/>
    <w:rsid w:val="00073F06"/>
    <w:rsid w:val="000749E6"/>
    <w:rsid w:val="00076AFD"/>
    <w:rsid w:val="00076D0C"/>
    <w:rsid w:val="0007733B"/>
    <w:rsid w:val="0007765B"/>
    <w:rsid w:val="00077864"/>
    <w:rsid w:val="00080233"/>
    <w:rsid w:val="00081BFF"/>
    <w:rsid w:val="00085768"/>
    <w:rsid w:val="00085AA6"/>
    <w:rsid w:val="00086744"/>
    <w:rsid w:val="00086B43"/>
    <w:rsid w:val="00086D4F"/>
    <w:rsid w:val="00087D75"/>
    <w:rsid w:val="00090615"/>
    <w:rsid w:val="0009209B"/>
    <w:rsid w:val="000923EB"/>
    <w:rsid w:val="00092633"/>
    <w:rsid w:val="00092999"/>
    <w:rsid w:val="00093C1B"/>
    <w:rsid w:val="00095525"/>
    <w:rsid w:val="000958E4"/>
    <w:rsid w:val="000970E7"/>
    <w:rsid w:val="00097392"/>
    <w:rsid w:val="000A0BD9"/>
    <w:rsid w:val="000A1470"/>
    <w:rsid w:val="000A171E"/>
    <w:rsid w:val="000A1E44"/>
    <w:rsid w:val="000A2547"/>
    <w:rsid w:val="000A25D5"/>
    <w:rsid w:val="000A398B"/>
    <w:rsid w:val="000A41A2"/>
    <w:rsid w:val="000A4940"/>
    <w:rsid w:val="000A494E"/>
    <w:rsid w:val="000A52DF"/>
    <w:rsid w:val="000A696F"/>
    <w:rsid w:val="000A7402"/>
    <w:rsid w:val="000A7CEE"/>
    <w:rsid w:val="000B05E2"/>
    <w:rsid w:val="000B0DB4"/>
    <w:rsid w:val="000B1BB2"/>
    <w:rsid w:val="000B362D"/>
    <w:rsid w:val="000B44F6"/>
    <w:rsid w:val="000B4ABD"/>
    <w:rsid w:val="000B5ED6"/>
    <w:rsid w:val="000B61AD"/>
    <w:rsid w:val="000B6DEE"/>
    <w:rsid w:val="000B76F6"/>
    <w:rsid w:val="000C07E6"/>
    <w:rsid w:val="000C1BF7"/>
    <w:rsid w:val="000C1F8D"/>
    <w:rsid w:val="000C213C"/>
    <w:rsid w:val="000C27BB"/>
    <w:rsid w:val="000C2FF1"/>
    <w:rsid w:val="000C3786"/>
    <w:rsid w:val="000C3A3C"/>
    <w:rsid w:val="000C52B3"/>
    <w:rsid w:val="000C6C89"/>
    <w:rsid w:val="000C78AD"/>
    <w:rsid w:val="000D0B12"/>
    <w:rsid w:val="000D1B1F"/>
    <w:rsid w:val="000D1E51"/>
    <w:rsid w:val="000D2486"/>
    <w:rsid w:val="000D24D9"/>
    <w:rsid w:val="000D2D74"/>
    <w:rsid w:val="000D35C1"/>
    <w:rsid w:val="000D4089"/>
    <w:rsid w:val="000D41F7"/>
    <w:rsid w:val="000D4F0D"/>
    <w:rsid w:val="000D5855"/>
    <w:rsid w:val="000D6106"/>
    <w:rsid w:val="000D61F8"/>
    <w:rsid w:val="000D6F36"/>
    <w:rsid w:val="000D7559"/>
    <w:rsid w:val="000D7CC0"/>
    <w:rsid w:val="000E03E3"/>
    <w:rsid w:val="000E06ED"/>
    <w:rsid w:val="000E0930"/>
    <w:rsid w:val="000E1068"/>
    <w:rsid w:val="000E1323"/>
    <w:rsid w:val="000E1ED5"/>
    <w:rsid w:val="000E3220"/>
    <w:rsid w:val="000E3CAF"/>
    <w:rsid w:val="000E3E4F"/>
    <w:rsid w:val="000E49A2"/>
    <w:rsid w:val="000E4C6D"/>
    <w:rsid w:val="000E500A"/>
    <w:rsid w:val="000E5D42"/>
    <w:rsid w:val="000E62D6"/>
    <w:rsid w:val="000E7339"/>
    <w:rsid w:val="000E7D84"/>
    <w:rsid w:val="000E7E1A"/>
    <w:rsid w:val="000F08FA"/>
    <w:rsid w:val="000F1132"/>
    <w:rsid w:val="000F12F6"/>
    <w:rsid w:val="000F2FE1"/>
    <w:rsid w:val="000F4EF4"/>
    <w:rsid w:val="000F5950"/>
    <w:rsid w:val="000F5AB6"/>
    <w:rsid w:val="000F7140"/>
    <w:rsid w:val="000F7978"/>
    <w:rsid w:val="000F7AEB"/>
    <w:rsid w:val="00100051"/>
    <w:rsid w:val="00100D0C"/>
    <w:rsid w:val="00101219"/>
    <w:rsid w:val="001013D6"/>
    <w:rsid w:val="00101BD5"/>
    <w:rsid w:val="001034E6"/>
    <w:rsid w:val="001049A3"/>
    <w:rsid w:val="00104E48"/>
    <w:rsid w:val="00105131"/>
    <w:rsid w:val="00105940"/>
    <w:rsid w:val="00105C78"/>
    <w:rsid w:val="00106EC9"/>
    <w:rsid w:val="001137A1"/>
    <w:rsid w:val="00114706"/>
    <w:rsid w:val="001148F7"/>
    <w:rsid w:val="00114D60"/>
    <w:rsid w:val="001160F0"/>
    <w:rsid w:val="00117CB5"/>
    <w:rsid w:val="00120894"/>
    <w:rsid w:val="00121F6C"/>
    <w:rsid w:val="00122362"/>
    <w:rsid w:val="0012298C"/>
    <w:rsid w:val="001233E4"/>
    <w:rsid w:val="00123B97"/>
    <w:rsid w:val="00123DB6"/>
    <w:rsid w:val="0012474D"/>
    <w:rsid w:val="00124A15"/>
    <w:rsid w:val="001254A9"/>
    <w:rsid w:val="00126389"/>
    <w:rsid w:val="00126573"/>
    <w:rsid w:val="001269E3"/>
    <w:rsid w:val="00131501"/>
    <w:rsid w:val="00131645"/>
    <w:rsid w:val="00132AE2"/>
    <w:rsid w:val="00132B57"/>
    <w:rsid w:val="00134698"/>
    <w:rsid w:val="00136440"/>
    <w:rsid w:val="00136C2A"/>
    <w:rsid w:val="001401EC"/>
    <w:rsid w:val="001412B5"/>
    <w:rsid w:val="00142412"/>
    <w:rsid w:val="001424AF"/>
    <w:rsid w:val="001425E8"/>
    <w:rsid w:val="001426B0"/>
    <w:rsid w:val="00142882"/>
    <w:rsid w:val="0014424B"/>
    <w:rsid w:val="00145C4F"/>
    <w:rsid w:val="00145DE6"/>
    <w:rsid w:val="00145FBC"/>
    <w:rsid w:val="00146A76"/>
    <w:rsid w:val="0014726B"/>
    <w:rsid w:val="00151555"/>
    <w:rsid w:val="00152587"/>
    <w:rsid w:val="00154103"/>
    <w:rsid w:val="00154136"/>
    <w:rsid w:val="00154173"/>
    <w:rsid w:val="001546DF"/>
    <w:rsid w:val="0015689E"/>
    <w:rsid w:val="001604F8"/>
    <w:rsid w:val="00161270"/>
    <w:rsid w:val="0016147D"/>
    <w:rsid w:val="0016176F"/>
    <w:rsid w:val="00161872"/>
    <w:rsid w:val="00162238"/>
    <w:rsid w:val="0016321F"/>
    <w:rsid w:val="00164B3F"/>
    <w:rsid w:val="00164E4B"/>
    <w:rsid w:val="001651E1"/>
    <w:rsid w:val="00165574"/>
    <w:rsid w:val="00165AF3"/>
    <w:rsid w:val="001660ED"/>
    <w:rsid w:val="0016636C"/>
    <w:rsid w:val="00166D33"/>
    <w:rsid w:val="001673B7"/>
    <w:rsid w:val="00170082"/>
    <w:rsid w:val="00170A13"/>
    <w:rsid w:val="00173C02"/>
    <w:rsid w:val="00173C1A"/>
    <w:rsid w:val="0017546C"/>
    <w:rsid w:val="00176358"/>
    <w:rsid w:val="00177365"/>
    <w:rsid w:val="0018012B"/>
    <w:rsid w:val="00180371"/>
    <w:rsid w:val="00180A4B"/>
    <w:rsid w:val="00180CFA"/>
    <w:rsid w:val="001812C4"/>
    <w:rsid w:val="00181567"/>
    <w:rsid w:val="00182D47"/>
    <w:rsid w:val="00183292"/>
    <w:rsid w:val="00185B6E"/>
    <w:rsid w:val="0018759B"/>
    <w:rsid w:val="00187671"/>
    <w:rsid w:val="00187908"/>
    <w:rsid w:val="0019056B"/>
    <w:rsid w:val="001921D8"/>
    <w:rsid w:val="0019270F"/>
    <w:rsid w:val="001930BA"/>
    <w:rsid w:val="001961BE"/>
    <w:rsid w:val="001967EE"/>
    <w:rsid w:val="001A002E"/>
    <w:rsid w:val="001A0190"/>
    <w:rsid w:val="001A0FED"/>
    <w:rsid w:val="001A21C2"/>
    <w:rsid w:val="001A319F"/>
    <w:rsid w:val="001A3361"/>
    <w:rsid w:val="001A4152"/>
    <w:rsid w:val="001A42A9"/>
    <w:rsid w:val="001A4626"/>
    <w:rsid w:val="001A501F"/>
    <w:rsid w:val="001B0123"/>
    <w:rsid w:val="001B30A7"/>
    <w:rsid w:val="001B35C3"/>
    <w:rsid w:val="001B385A"/>
    <w:rsid w:val="001B500E"/>
    <w:rsid w:val="001B52E0"/>
    <w:rsid w:val="001B6CA1"/>
    <w:rsid w:val="001C05E6"/>
    <w:rsid w:val="001C0FBF"/>
    <w:rsid w:val="001C1538"/>
    <w:rsid w:val="001C2191"/>
    <w:rsid w:val="001C2BA7"/>
    <w:rsid w:val="001C2E0A"/>
    <w:rsid w:val="001C303D"/>
    <w:rsid w:val="001C30AD"/>
    <w:rsid w:val="001C378A"/>
    <w:rsid w:val="001C4D81"/>
    <w:rsid w:val="001C4EBD"/>
    <w:rsid w:val="001C51B1"/>
    <w:rsid w:val="001C6924"/>
    <w:rsid w:val="001C6EE1"/>
    <w:rsid w:val="001C7BF9"/>
    <w:rsid w:val="001D0A5A"/>
    <w:rsid w:val="001D1EC7"/>
    <w:rsid w:val="001D2070"/>
    <w:rsid w:val="001D3176"/>
    <w:rsid w:val="001D6B4C"/>
    <w:rsid w:val="001D73FA"/>
    <w:rsid w:val="001E036C"/>
    <w:rsid w:val="001E10CD"/>
    <w:rsid w:val="001E34C5"/>
    <w:rsid w:val="001E4504"/>
    <w:rsid w:val="001E5033"/>
    <w:rsid w:val="001E55B5"/>
    <w:rsid w:val="001E55F9"/>
    <w:rsid w:val="001E730D"/>
    <w:rsid w:val="001E79E3"/>
    <w:rsid w:val="001E7CB2"/>
    <w:rsid w:val="001E7CF6"/>
    <w:rsid w:val="001F2A1D"/>
    <w:rsid w:val="001F2BB1"/>
    <w:rsid w:val="001F2BBE"/>
    <w:rsid w:val="001F2D4E"/>
    <w:rsid w:val="001F429A"/>
    <w:rsid w:val="001F43BC"/>
    <w:rsid w:val="001F4AC0"/>
    <w:rsid w:val="001F5718"/>
    <w:rsid w:val="001F588E"/>
    <w:rsid w:val="001F68F1"/>
    <w:rsid w:val="001F6B7B"/>
    <w:rsid w:val="001F6D0B"/>
    <w:rsid w:val="001F76C9"/>
    <w:rsid w:val="001F7AE5"/>
    <w:rsid w:val="002004BE"/>
    <w:rsid w:val="002005B8"/>
    <w:rsid w:val="002022F2"/>
    <w:rsid w:val="002040CF"/>
    <w:rsid w:val="0020446B"/>
    <w:rsid w:val="00204CAD"/>
    <w:rsid w:val="00204D00"/>
    <w:rsid w:val="00205D69"/>
    <w:rsid w:val="002071CF"/>
    <w:rsid w:val="00211724"/>
    <w:rsid w:val="002126EA"/>
    <w:rsid w:val="00214533"/>
    <w:rsid w:val="00216AF1"/>
    <w:rsid w:val="00217C0C"/>
    <w:rsid w:val="00220A35"/>
    <w:rsid w:val="00220C92"/>
    <w:rsid w:val="00220FDB"/>
    <w:rsid w:val="00222A99"/>
    <w:rsid w:val="00223B0D"/>
    <w:rsid w:val="00224DB1"/>
    <w:rsid w:val="00224F65"/>
    <w:rsid w:val="00225013"/>
    <w:rsid w:val="002262DD"/>
    <w:rsid w:val="00226559"/>
    <w:rsid w:val="002273FF"/>
    <w:rsid w:val="002322CC"/>
    <w:rsid w:val="0023235C"/>
    <w:rsid w:val="00233D54"/>
    <w:rsid w:val="002355D3"/>
    <w:rsid w:val="002355F2"/>
    <w:rsid w:val="00235800"/>
    <w:rsid w:val="0023612F"/>
    <w:rsid w:val="0024076F"/>
    <w:rsid w:val="00240E32"/>
    <w:rsid w:val="00240FCD"/>
    <w:rsid w:val="00241078"/>
    <w:rsid w:val="002416C5"/>
    <w:rsid w:val="00241FE3"/>
    <w:rsid w:val="0024348B"/>
    <w:rsid w:val="00244CDC"/>
    <w:rsid w:val="002450FA"/>
    <w:rsid w:val="0024515E"/>
    <w:rsid w:val="0024535B"/>
    <w:rsid w:val="00246A98"/>
    <w:rsid w:val="0024759C"/>
    <w:rsid w:val="002477A4"/>
    <w:rsid w:val="00247D89"/>
    <w:rsid w:val="00250804"/>
    <w:rsid w:val="002516B5"/>
    <w:rsid w:val="002521D2"/>
    <w:rsid w:val="002544FA"/>
    <w:rsid w:val="002549FB"/>
    <w:rsid w:val="00254A9E"/>
    <w:rsid w:val="00255381"/>
    <w:rsid w:val="00255EB5"/>
    <w:rsid w:val="0025665F"/>
    <w:rsid w:val="00256BE5"/>
    <w:rsid w:val="00257064"/>
    <w:rsid w:val="00257AC5"/>
    <w:rsid w:val="0026085B"/>
    <w:rsid w:val="002609B9"/>
    <w:rsid w:val="00260C91"/>
    <w:rsid w:val="00262C67"/>
    <w:rsid w:val="00263084"/>
    <w:rsid w:val="00263F51"/>
    <w:rsid w:val="0026637E"/>
    <w:rsid w:val="00266679"/>
    <w:rsid w:val="00270562"/>
    <w:rsid w:val="00270865"/>
    <w:rsid w:val="00271644"/>
    <w:rsid w:val="00271A07"/>
    <w:rsid w:val="00271D89"/>
    <w:rsid w:val="002726BE"/>
    <w:rsid w:val="00272F87"/>
    <w:rsid w:val="00274572"/>
    <w:rsid w:val="00275578"/>
    <w:rsid w:val="00275993"/>
    <w:rsid w:val="00276702"/>
    <w:rsid w:val="00280D99"/>
    <w:rsid w:val="0028648F"/>
    <w:rsid w:val="0028713A"/>
    <w:rsid w:val="00287258"/>
    <w:rsid w:val="00287554"/>
    <w:rsid w:val="00287DE9"/>
    <w:rsid w:val="002904D2"/>
    <w:rsid w:val="002906E8"/>
    <w:rsid w:val="00290E2D"/>
    <w:rsid w:val="002919D6"/>
    <w:rsid w:val="002948C0"/>
    <w:rsid w:val="0029581D"/>
    <w:rsid w:val="00295A97"/>
    <w:rsid w:val="002979E5"/>
    <w:rsid w:val="002A0100"/>
    <w:rsid w:val="002A1038"/>
    <w:rsid w:val="002A2FEF"/>
    <w:rsid w:val="002A3B79"/>
    <w:rsid w:val="002A46C4"/>
    <w:rsid w:val="002A4FF9"/>
    <w:rsid w:val="002A567B"/>
    <w:rsid w:val="002A56A1"/>
    <w:rsid w:val="002A5FD4"/>
    <w:rsid w:val="002A7DBF"/>
    <w:rsid w:val="002B01C4"/>
    <w:rsid w:val="002B1337"/>
    <w:rsid w:val="002B146B"/>
    <w:rsid w:val="002B159B"/>
    <w:rsid w:val="002B231E"/>
    <w:rsid w:val="002B24BD"/>
    <w:rsid w:val="002B340B"/>
    <w:rsid w:val="002B4AAB"/>
    <w:rsid w:val="002B4EDD"/>
    <w:rsid w:val="002B4F2C"/>
    <w:rsid w:val="002B51B9"/>
    <w:rsid w:val="002B5844"/>
    <w:rsid w:val="002B5EDD"/>
    <w:rsid w:val="002B6756"/>
    <w:rsid w:val="002B6F9C"/>
    <w:rsid w:val="002B726B"/>
    <w:rsid w:val="002C02EB"/>
    <w:rsid w:val="002C0F55"/>
    <w:rsid w:val="002C104A"/>
    <w:rsid w:val="002C2113"/>
    <w:rsid w:val="002C254E"/>
    <w:rsid w:val="002C2B1B"/>
    <w:rsid w:val="002C4780"/>
    <w:rsid w:val="002C6D9D"/>
    <w:rsid w:val="002C767E"/>
    <w:rsid w:val="002D1537"/>
    <w:rsid w:val="002D157A"/>
    <w:rsid w:val="002D16B1"/>
    <w:rsid w:val="002D297B"/>
    <w:rsid w:val="002D2C3B"/>
    <w:rsid w:val="002D41A9"/>
    <w:rsid w:val="002D53B8"/>
    <w:rsid w:val="002D6510"/>
    <w:rsid w:val="002D6FAA"/>
    <w:rsid w:val="002D771F"/>
    <w:rsid w:val="002E0110"/>
    <w:rsid w:val="002E049D"/>
    <w:rsid w:val="002E0B2C"/>
    <w:rsid w:val="002E16F3"/>
    <w:rsid w:val="002E1D26"/>
    <w:rsid w:val="002E2BAD"/>
    <w:rsid w:val="002E336D"/>
    <w:rsid w:val="002E3E78"/>
    <w:rsid w:val="002E5A66"/>
    <w:rsid w:val="002E60F5"/>
    <w:rsid w:val="002E68D7"/>
    <w:rsid w:val="002E72EC"/>
    <w:rsid w:val="002E74AA"/>
    <w:rsid w:val="002E765B"/>
    <w:rsid w:val="002F02DA"/>
    <w:rsid w:val="002F106C"/>
    <w:rsid w:val="002F1D1B"/>
    <w:rsid w:val="002F3261"/>
    <w:rsid w:val="002F56C6"/>
    <w:rsid w:val="002F64F2"/>
    <w:rsid w:val="002F6FEF"/>
    <w:rsid w:val="002F7272"/>
    <w:rsid w:val="002F7825"/>
    <w:rsid w:val="002F7DCF"/>
    <w:rsid w:val="00300125"/>
    <w:rsid w:val="003003F7"/>
    <w:rsid w:val="003046B4"/>
    <w:rsid w:val="0030471A"/>
    <w:rsid w:val="00305272"/>
    <w:rsid w:val="00307939"/>
    <w:rsid w:val="0031021B"/>
    <w:rsid w:val="00310DC4"/>
    <w:rsid w:val="003112B0"/>
    <w:rsid w:val="00311C38"/>
    <w:rsid w:val="00311D43"/>
    <w:rsid w:val="003125BA"/>
    <w:rsid w:val="003137AF"/>
    <w:rsid w:val="00313817"/>
    <w:rsid w:val="00313A9A"/>
    <w:rsid w:val="00313F94"/>
    <w:rsid w:val="003215EA"/>
    <w:rsid w:val="00321675"/>
    <w:rsid w:val="00321C8C"/>
    <w:rsid w:val="003221CE"/>
    <w:rsid w:val="003225DF"/>
    <w:rsid w:val="0032576E"/>
    <w:rsid w:val="00327595"/>
    <w:rsid w:val="003309B5"/>
    <w:rsid w:val="003323D9"/>
    <w:rsid w:val="00332495"/>
    <w:rsid w:val="003324D9"/>
    <w:rsid w:val="0033263F"/>
    <w:rsid w:val="003326B1"/>
    <w:rsid w:val="00333791"/>
    <w:rsid w:val="0033460F"/>
    <w:rsid w:val="00334DC4"/>
    <w:rsid w:val="0033511B"/>
    <w:rsid w:val="0033568D"/>
    <w:rsid w:val="00335953"/>
    <w:rsid w:val="00336CA2"/>
    <w:rsid w:val="0033788E"/>
    <w:rsid w:val="00337B24"/>
    <w:rsid w:val="00340CD8"/>
    <w:rsid w:val="0034184E"/>
    <w:rsid w:val="00341C43"/>
    <w:rsid w:val="00341EDE"/>
    <w:rsid w:val="0034204F"/>
    <w:rsid w:val="003425F0"/>
    <w:rsid w:val="0034367B"/>
    <w:rsid w:val="00344580"/>
    <w:rsid w:val="003445C2"/>
    <w:rsid w:val="00344EED"/>
    <w:rsid w:val="00345197"/>
    <w:rsid w:val="00345256"/>
    <w:rsid w:val="003459CC"/>
    <w:rsid w:val="00345A53"/>
    <w:rsid w:val="00346748"/>
    <w:rsid w:val="00346E9A"/>
    <w:rsid w:val="00351987"/>
    <w:rsid w:val="00351A07"/>
    <w:rsid w:val="00351C86"/>
    <w:rsid w:val="003520FF"/>
    <w:rsid w:val="003525B0"/>
    <w:rsid w:val="0035370D"/>
    <w:rsid w:val="00353ADB"/>
    <w:rsid w:val="00355228"/>
    <w:rsid w:val="00355407"/>
    <w:rsid w:val="00357F3D"/>
    <w:rsid w:val="0036015B"/>
    <w:rsid w:val="003610D3"/>
    <w:rsid w:val="003617A4"/>
    <w:rsid w:val="00361C5C"/>
    <w:rsid w:val="00362C2F"/>
    <w:rsid w:val="003632F2"/>
    <w:rsid w:val="00363D15"/>
    <w:rsid w:val="00364868"/>
    <w:rsid w:val="00364C97"/>
    <w:rsid w:val="00365137"/>
    <w:rsid w:val="0036557C"/>
    <w:rsid w:val="0036588B"/>
    <w:rsid w:val="00365E0F"/>
    <w:rsid w:val="00365E2A"/>
    <w:rsid w:val="00366091"/>
    <w:rsid w:val="00370239"/>
    <w:rsid w:val="00371355"/>
    <w:rsid w:val="00371522"/>
    <w:rsid w:val="00372B15"/>
    <w:rsid w:val="00373175"/>
    <w:rsid w:val="00374D93"/>
    <w:rsid w:val="00375043"/>
    <w:rsid w:val="0037754D"/>
    <w:rsid w:val="003801EB"/>
    <w:rsid w:val="003801EC"/>
    <w:rsid w:val="00380A29"/>
    <w:rsid w:val="00380ADB"/>
    <w:rsid w:val="00381DB1"/>
    <w:rsid w:val="00382733"/>
    <w:rsid w:val="0038323B"/>
    <w:rsid w:val="003834A2"/>
    <w:rsid w:val="00384222"/>
    <w:rsid w:val="003847B8"/>
    <w:rsid w:val="0038487A"/>
    <w:rsid w:val="00385BA1"/>
    <w:rsid w:val="0038679F"/>
    <w:rsid w:val="00386850"/>
    <w:rsid w:val="00390EC9"/>
    <w:rsid w:val="00391620"/>
    <w:rsid w:val="00391623"/>
    <w:rsid w:val="0039278C"/>
    <w:rsid w:val="00393E92"/>
    <w:rsid w:val="00394694"/>
    <w:rsid w:val="003947A3"/>
    <w:rsid w:val="00395903"/>
    <w:rsid w:val="00396307"/>
    <w:rsid w:val="00396441"/>
    <w:rsid w:val="00396E31"/>
    <w:rsid w:val="00397186"/>
    <w:rsid w:val="003A0376"/>
    <w:rsid w:val="003A29E7"/>
    <w:rsid w:val="003A2DB8"/>
    <w:rsid w:val="003A3B51"/>
    <w:rsid w:val="003A4472"/>
    <w:rsid w:val="003A4C3D"/>
    <w:rsid w:val="003A4F37"/>
    <w:rsid w:val="003A5002"/>
    <w:rsid w:val="003A60FE"/>
    <w:rsid w:val="003A65EA"/>
    <w:rsid w:val="003A7331"/>
    <w:rsid w:val="003A7522"/>
    <w:rsid w:val="003B33EF"/>
    <w:rsid w:val="003B379A"/>
    <w:rsid w:val="003B392C"/>
    <w:rsid w:val="003B49DA"/>
    <w:rsid w:val="003B4DAC"/>
    <w:rsid w:val="003B5CC6"/>
    <w:rsid w:val="003B5ED8"/>
    <w:rsid w:val="003B637D"/>
    <w:rsid w:val="003B6D92"/>
    <w:rsid w:val="003B7E7A"/>
    <w:rsid w:val="003C072C"/>
    <w:rsid w:val="003C0C07"/>
    <w:rsid w:val="003C11AF"/>
    <w:rsid w:val="003C11B3"/>
    <w:rsid w:val="003C2FE3"/>
    <w:rsid w:val="003C339C"/>
    <w:rsid w:val="003C3E78"/>
    <w:rsid w:val="003C4498"/>
    <w:rsid w:val="003C6548"/>
    <w:rsid w:val="003C6800"/>
    <w:rsid w:val="003C752D"/>
    <w:rsid w:val="003C7B84"/>
    <w:rsid w:val="003D0928"/>
    <w:rsid w:val="003D2B42"/>
    <w:rsid w:val="003D2DDF"/>
    <w:rsid w:val="003D3794"/>
    <w:rsid w:val="003D3838"/>
    <w:rsid w:val="003D4749"/>
    <w:rsid w:val="003D4CC1"/>
    <w:rsid w:val="003D750B"/>
    <w:rsid w:val="003D7618"/>
    <w:rsid w:val="003D7753"/>
    <w:rsid w:val="003D77BD"/>
    <w:rsid w:val="003E027A"/>
    <w:rsid w:val="003E0522"/>
    <w:rsid w:val="003E09BC"/>
    <w:rsid w:val="003E0E52"/>
    <w:rsid w:val="003E303A"/>
    <w:rsid w:val="003E496B"/>
    <w:rsid w:val="003E4F48"/>
    <w:rsid w:val="003F0425"/>
    <w:rsid w:val="003F0CD8"/>
    <w:rsid w:val="003F155C"/>
    <w:rsid w:val="003F29C8"/>
    <w:rsid w:val="003F3741"/>
    <w:rsid w:val="003F4B4D"/>
    <w:rsid w:val="003F6DD5"/>
    <w:rsid w:val="003F7099"/>
    <w:rsid w:val="003F7167"/>
    <w:rsid w:val="00401905"/>
    <w:rsid w:val="0040264C"/>
    <w:rsid w:val="00403041"/>
    <w:rsid w:val="00403243"/>
    <w:rsid w:val="0040395D"/>
    <w:rsid w:val="0040489E"/>
    <w:rsid w:val="00404F1C"/>
    <w:rsid w:val="00405E97"/>
    <w:rsid w:val="00407533"/>
    <w:rsid w:val="00407AD3"/>
    <w:rsid w:val="00407D31"/>
    <w:rsid w:val="004108DC"/>
    <w:rsid w:val="00410FE6"/>
    <w:rsid w:val="00411AFF"/>
    <w:rsid w:val="004131E4"/>
    <w:rsid w:val="00414548"/>
    <w:rsid w:val="00415F04"/>
    <w:rsid w:val="00416786"/>
    <w:rsid w:val="00416D0A"/>
    <w:rsid w:val="00421169"/>
    <w:rsid w:val="00421CEF"/>
    <w:rsid w:val="00422365"/>
    <w:rsid w:val="00423DEE"/>
    <w:rsid w:val="00424E17"/>
    <w:rsid w:val="004250A3"/>
    <w:rsid w:val="00425433"/>
    <w:rsid w:val="00427F4D"/>
    <w:rsid w:val="00431278"/>
    <w:rsid w:val="004317EB"/>
    <w:rsid w:val="00431FA2"/>
    <w:rsid w:val="0043267D"/>
    <w:rsid w:val="00433F82"/>
    <w:rsid w:val="004345CF"/>
    <w:rsid w:val="00435A06"/>
    <w:rsid w:val="00437426"/>
    <w:rsid w:val="00437D15"/>
    <w:rsid w:val="0044286B"/>
    <w:rsid w:val="00442B26"/>
    <w:rsid w:val="00443893"/>
    <w:rsid w:val="0044411B"/>
    <w:rsid w:val="004445AA"/>
    <w:rsid w:val="004446B2"/>
    <w:rsid w:val="00445239"/>
    <w:rsid w:val="00446EAF"/>
    <w:rsid w:val="0045016B"/>
    <w:rsid w:val="00450E2C"/>
    <w:rsid w:val="00452356"/>
    <w:rsid w:val="00452B54"/>
    <w:rsid w:val="00452C2A"/>
    <w:rsid w:val="00453C46"/>
    <w:rsid w:val="004558D5"/>
    <w:rsid w:val="00456298"/>
    <w:rsid w:val="00456AD3"/>
    <w:rsid w:val="00456FE8"/>
    <w:rsid w:val="0045737A"/>
    <w:rsid w:val="00460ECA"/>
    <w:rsid w:val="004618BC"/>
    <w:rsid w:val="00461DCB"/>
    <w:rsid w:val="00462314"/>
    <w:rsid w:val="00462E3B"/>
    <w:rsid w:val="004633B2"/>
    <w:rsid w:val="00464E7E"/>
    <w:rsid w:val="00465F6C"/>
    <w:rsid w:val="0046660C"/>
    <w:rsid w:val="004667DF"/>
    <w:rsid w:val="00466C10"/>
    <w:rsid w:val="004705FF"/>
    <w:rsid w:val="00470EFE"/>
    <w:rsid w:val="004713A2"/>
    <w:rsid w:val="004724C9"/>
    <w:rsid w:val="004729C4"/>
    <w:rsid w:val="00472B94"/>
    <w:rsid w:val="00473BE0"/>
    <w:rsid w:val="00474032"/>
    <w:rsid w:val="00474F4A"/>
    <w:rsid w:val="0047544E"/>
    <w:rsid w:val="0047791B"/>
    <w:rsid w:val="00482F9B"/>
    <w:rsid w:val="00483B0A"/>
    <w:rsid w:val="00485738"/>
    <w:rsid w:val="00487242"/>
    <w:rsid w:val="00491C7E"/>
    <w:rsid w:val="00491F9A"/>
    <w:rsid w:val="00492D0D"/>
    <w:rsid w:val="0049349D"/>
    <w:rsid w:val="00493670"/>
    <w:rsid w:val="00494F3B"/>
    <w:rsid w:val="00495CD7"/>
    <w:rsid w:val="0049638B"/>
    <w:rsid w:val="00496E4E"/>
    <w:rsid w:val="004A1E0A"/>
    <w:rsid w:val="004A2D6B"/>
    <w:rsid w:val="004A42EB"/>
    <w:rsid w:val="004A4BF5"/>
    <w:rsid w:val="004A53A1"/>
    <w:rsid w:val="004A69B2"/>
    <w:rsid w:val="004A7949"/>
    <w:rsid w:val="004B322E"/>
    <w:rsid w:val="004B3CF0"/>
    <w:rsid w:val="004B431C"/>
    <w:rsid w:val="004B4C02"/>
    <w:rsid w:val="004B7066"/>
    <w:rsid w:val="004B7422"/>
    <w:rsid w:val="004C05C3"/>
    <w:rsid w:val="004C08DC"/>
    <w:rsid w:val="004C1489"/>
    <w:rsid w:val="004C3209"/>
    <w:rsid w:val="004C43C1"/>
    <w:rsid w:val="004C47B4"/>
    <w:rsid w:val="004C6152"/>
    <w:rsid w:val="004C6271"/>
    <w:rsid w:val="004D1BA0"/>
    <w:rsid w:val="004D2A3E"/>
    <w:rsid w:val="004D2C68"/>
    <w:rsid w:val="004D36A1"/>
    <w:rsid w:val="004D4A99"/>
    <w:rsid w:val="004D600C"/>
    <w:rsid w:val="004D79E0"/>
    <w:rsid w:val="004E0DB2"/>
    <w:rsid w:val="004E13AE"/>
    <w:rsid w:val="004E14C2"/>
    <w:rsid w:val="004E3B35"/>
    <w:rsid w:val="004E65AD"/>
    <w:rsid w:val="004F15D8"/>
    <w:rsid w:val="004F2865"/>
    <w:rsid w:val="004F4547"/>
    <w:rsid w:val="004F476B"/>
    <w:rsid w:val="004F48C9"/>
    <w:rsid w:val="004F5520"/>
    <w:rsid w:val="004F6584"/>
    <w:rsid w:val="004F67D6"/>
    <w:rsid w:val="005005E9"/>
    <w:rsid w:val="00500A2F"/>
    <w:rsid w:val="00500C6D"/>
    <w:rsid w:val="00501309"/>
    <w:rsid w:val="0050265A"/>
    <w:rsid w:val="00503468"/>
    <w:rsid w:val="00503B8B"/>
    <w:rsid w:val="0050402F"/>
    <w:rsid w:val="00504C2D"/>
    <w:rsid w:val="0050583F"/>
    <w:rsid w:val="00505D96"/>
    <w:rsid w:val="00506AC9"/>
    <w:rsid w:val="005071FC"/>
    <w:rsid w:val="0050770E"/>
    <w:rsid w:val="005077EF"/>
    <w:rsid w:val="00510230"/>
    <w:rsid w:val="005103D1"/>
    <w:rsid w:val="00510BE6"/>
    <w:rsid w:val="00510C4D"/>
    <w:rsid w:val="00510E5B"/>
    <w:rsid w:val="005112EC"/>
    <w:rsid w:val="00513363"/>
    <w:rsid w:val="00514404"/>
    <w:rsid w:val="00514D8A"/>
    <w:rsid w:val="005152B2"/>
    <w:rsid w:val="0051566B"/>
    <w:rsid w:val="0051594E"/>
    <w:rsid w:val="0051633D"/>
    <w:rsid w:val="00520120"/>
    <w:rsid w:val="00520187"/>
    <w:rsid w:val="00520B93"/>
    <w:rsid w:val="00521DE6"/>
    <w:rsid w:val="00522336"/>
    <w:rsid w:val="00525786"/>
    <w:rsid w:val="0052588F"/>
    <w:rsid w:val="00525C19"/>
    <w:rsid w:val="00525ED7"/>
    <w:rsid w:val="00526980"/>
    <w:rsid w:val="005270C1"/>
    <w:rsid w:val="005270C4"/>
    <w:rsid w:val="00531389"/>
    <w:rsid w:val="00531570"/>
    <w:rsid w:val="00532A0B"/>
    <w:rsid w:val="00533508"/>
    <w:rsid w:val="00533AEA"/>
    <w:rsid w:val="0053447E"/>
    <w:rsid w:val="005349E7"/>
    <w:rsid w:val="00535643"/>
    <w:rsid w:val="00536061"/>
    <w:rsid w:val="00536D5A"/>
    <w:rsid w:val="005371DF"/>
    <w:rsid w:val="00537820"/>
    <w:rsid w:val="00542D7C"/>
    <w:rsid w:val="00543325"/>
    <w:rsid w:val="00543851"/>
    <w:rsid w:val="00543C2F"/>
    <w:rsid w:val="00544870"/>
    <w:rsid w:val="00544B46"/>
    <w:rsid w:val="00544E6F"/>
    <w:rsid w:val="00545E29"/>
    <w:rsid w:val="00545EA3"/>
    <w:rsid w:val="00547522"/>
    <w:rsid w:val="0054760B"/>
    <w:rsid w:val="00547DD8"/>
    <w:rsid w:val="00547E81"/>
    <w:rsid w:val="005500C2"/>
    <w:rsid w:val="00551FD6"/>
    <w:rsid w:val="005527F0"/>
    <w:rsid w:val="005539A6"/>
    <w:rsid w:val="00554448"/>
    <w:rsid w:val="00554AE9"/>
    <w:rsid w:val="00554D5C"/>
    <w:rsid w:val="00556DBF"/>
    <w:rsid w:val="00557DEC"/>
    <w:rsid w:val="00560336"/>
    <w:rsid w:val="005609FD"/>
    <w:rsid w:val="00560E7C"/>
    <w:rsid w:val="00562543"/>
    <w:rsid w:val="00562677"/>
    <w:rsid w:val="005629C6"/>
    <w:rsid w:val="005632BF"/>
    <w:rsid w:val="0056523F"/>
    <w:rsid w:val="00565A36"/>
    <w:rsid w:val="005662DC"/>
    <w:rsid w:val="00566C4D"/>
    <w:rsid w:val="00566CC9"/>
    <w:rsid w:val="00572AFB"/>
    <w:rsid w:val="00574576"/>
    <w:rsid w:val="00574C42"/>
    <w:rsid w:val="00574C55"/>
    <w:rsid w:val="00576B53"/>
    <w:rsid w:val="005804E6"/>
    <w:rsid w:val="005807AB"/>
    <w:rsid w:val="00580BAD"/>
    <w:rsid w:val="0058123B"/>
    <w:rsid w:val="00581279"/>
    <w:rsid w:val="00581A0F"/>
    <w:rsid w:val="00582494"/>
    <w:rsid w:val="0058295F"/>
    <w:rsid w:val="0058371A"/>
    <w:rsid w:val="005838A9"/>
    <w:rsid w:val="00583FB1"/>
    <w:rsid w:val="00584013"/>
    <w:rsid w:val="0058440E"/>
    <w:rsid w:val="005848A4"/>
    <w:rsid w:val="005864C9"/>
    <w:rsid w:val="005871E9"/>
    <w:rsid w:val="00587715"/>
    <w:rsid w:val="00590878"/>
    <w:rsid w:val="00590EE4"/>
    <w:rsid w:val="005926B1"/>
    <w:rsid w:val="00592C62"/>
    <w:rsid w:val="00592F4F"/>
    <w:rsid w:val="005933CA"/>
    <w:rsid w:val="005966DB"/>
    <w:rsid w:val="00597258"/>
    <w:rsid w:val="00597DE7"/>
    <w:rsid w:val="005A00A5"/>
    <w:rsid w:val="005A016E"/>
    <w:rsid w:val="005A04FB"/>
    <w:rsid w:val="005A3BDC"/>
    <w:rsid w:val="005A3D05"/>
    <w:rsid w:val="005A3D91"/>
    <w:rsid w:val="005A4C98"/>
    <w:rsid w:val="005A56C1"/>
    <w:rsid w:val="005A70F5"/>
    <w:rsid w:val="005A7EA0"/>
    <w:rsid w:val="005B0EB7"/>
    <w:rsid w:val="005B2F25"/>
    <w:rsid w:val="005B32E4"/>
    <w:rsid w:val="005B4B75"/>
    <w:rsid w:val="005B500C"/>
    <w:rsid w:val="005C07D1"/>
    <w:rsid w:val="005C0956"/>
    <w:rsid w:val="005C09F0"/>
    <w:rsid w:val="005C1EEB"/>
    <w:rsid w:val="005C229D"/>
    <w:rsid w:val="005C2676"/>
    <w:rsid w:val="005C42D2"/>
    <w:rsid w:val="005C4B85"/>
    <w:rsid w:val="005C4C68"/>
    <w:rsid w:val="005C4D36"/>
    <w:rsid w:val="005C511D"/>
    <w:rsid w:val="005C5800"/>
    <w:rsid w:val="005C7218"/>
    <w:rsid w:val="005C7B3E"/>
    <w:rsid w:val="005D0175"/>
    <w:rsid w:val="005D0FCC"/>
    <w:rsid w:val="005D13B9"/>
    <w:rsid w:val="005D16CD"/>
    <w:rsid w:val="005D1A0C"/>
    <w:rsid w:val="005D1D11"/>
    <w:rsid w:val="005D2704"/>
    <w:rsid w:val="005D2D60"/>
    <w:rsid w:val="005D2EA8"/>
    <w:rsid w:val="005D3AA0"/>
    <w:rsid w:val="005D3E10"/>
    <w:rsid w:val="005D44EB"/>
    <w:rsid w:val="005D6F30"/>
    <w:rsid w:val="005E0F4B"/>
    <w:rsid w:val="005E18D7"/>
    <w:rsid w:val="005E24AF"/>
    <w:rsid w:val="005E2B71"/>
    <w:rsid w:val="005E426A"/>
    <w:rsid w:val="005E4713"/>
    <w:rsid w:val="005E519E"/>
    <w:rsid w:val="005E6546"/>
    <w:rsid w:val="005E69C9"/>
    <w:rsid w:val="005E7B92"/>
    <w:rsid w:val="005F016F"/>
    <w:rsid w:val="005F071A"/>
    <w:rsid w:val="005F08C4"/>
    <w:rsid w:val="005F0B59"/>
    <w:rsid w:val="005F0B97"/>
    <w:rsid w:val="005F0FAF"/>
    <w:rsid w:val="005F4422"/>
    <w:rsid w:val="005F4F6B"/>
    <w:rsid w:val="005F5457"/>
    <w:rsid w:val="005F5DFF"/>
    <w:rsid w:val="005F624A"/>
    <w:rsid w:val="005F6DA7"/>
    <w:rsid w:val="005F745A"/>
    <w:rsid w:val="005F76B6"/>
    <w:rsid w:val="00600B2F"/>
    <w:rsid w:val="006021C8"/>
    <w:rsid w:val="0060365C"/>
    <w:rsid w:val="00604752"/>
    <w:rsid w:val="00604C5F"/>
    <w:rsid w:val="00605D2F"/>
    <w:rsid w:val="00606A19"/>
    <w:rsid w:val="0060788A"/>
    <w:rsid w:val="006102D2"/>
    <w:rsid w:val="0061195B"/>
    <w:rsid w:val="006124DE"/>
    <w:rsid w:val="006131DA"/>
    <w:rsid w:val="006148C4"/>
    <w:rsid w:val="00615B43"/>
    <w:rsid w:val="006168AE"/>
    <w:rsid w:val="00616E25"/>
    <w:rsid w:val="00617C57"/>
    <w:rsid w:val="00620856"/>
    <w:rsid w:val="00621806"/>
    <w:rsid w:val="00621BDE"/>
    <w:rsid w:val="00621E69"/>
    <w:rsid w:val="00621F66"/>
    <w:rsid w:val="006222E4"/>
    <w:rsid w:val="0062315F"/>
    <w:rsid w:val="00623AAD"/>
    <w:rsid w:val="00624454"/>
    <w:rsid w:val="0062445A"/>
    <w:rsid w:val="006254D2"/>
    <w:rsid w:val="006267EE"/>
    <w:rsid w:val="00627A0A"/>
    <w:rsid w:val="00630C28"/>
    <w:rsid w:val="00630CAB"/>
    <w:rsid w:val="006334D8"/>
    <w:rsid w:val="00633AED"/>
    <w:rsid w:val="00634B29"/>
    <w:rsid w:val="00635839"/>
    <w:rsid w:val="00635F80"/>
    <w:rsid w:val="006361C8"/>
    <w:rsid w:val="006373CF"/>
    <w:rsid w:val="00641C0F"/>
    <w:rsid w:val="00642084"/>
    <w:rsid w:val="00642DA4"/>
    <w:rsid w:val="0064306F"/>
    <w:rsid w:val="006437AF"/>
    <w:rsid w:val="00643DAB"/>
    <w:rsid w:val="00643EE8"/>
    <w:rsid w:val="006441B5"/>
    <w:rsid w:val="0064424C"/>
    <w:rsid w:val="00644AF4"/>
    <w:rsid w:val="00644E4D"/>
    <w:rsid w:val="0064530F"/>
    <w:rsid w:val="0064597E"/>
    <w:rsid w:val="00645B63"/>
    <w:rsid w:val="0064632B"/>
    <w:rsid w:val="00646495"/>
    <w:rsid w:val="006472B4"/>
    <w:rsid w:val="00647B70"/>
    <w:rsid w:val="00647D9D"/>
    <w:rsid w:val="006500AB"/>
    <w:rsid w:val="006505AD"/>
    <w:rsid w:val="00650608"/>
    <w:rsid w:val="00650DC4"/>
    <w:rsid w:val="006518AE"/>
    <w:rsid w:val="00652274"/>
    <w:rsid w:val="0065263D"/>
    <w:rsid w:val="0065322E"/>
    <w:rsid w:val="00653CD0"/>
    <w:rsid w:val="00654274"/>
    <w:rsid w:val="00654706"/>
    <w:rsid w:val="006574B5"/>
    <w:rsid w:val="006577B9"/>
    <w:rsid w:val="006602A0"/>
    <w:rsid w:val="00660369"/>
    <w:rsid w:val="0066040F"/>
    <w:rsid w:val="0066339A"/>
    <w:rsid w:val="006638CF"/>
    <w:rsid w:val="00663FBF"/>
    <w:rsid w:val="006644BD"/>
    <w:rsid w:val="00665C7B"/>
    <w:rsid w:val="00666F80"/>
    <w:rsid w:val="00667294"/>
    <w:rsid w:val="00667B5F"/>
    <w:rsid w:val="00672D76"/>
    <w:rsid w:val="00673614"/>
    <w:rsid w:val="0067384F"/>
    <w:rsid w:val="00673B60"/>
    <w:rsid w:val="00674570"/>
    <w:rsid w:val="006747D7"/>
    <w:rsid w:val="00674D95"/>
    <w:rsid w:val="00674E59"/>
    <w:rsid w:val="006750B6"/>
    <w:rsid w:val="006762E5"/>
    <w:rsid w:val="0067683C"/>
    <w:rsid w:val="00677C7F"/>
    <w:rsid w:val="006801CC"/>
    <w:rsid w:val="00680D1C"/>
    <w:rsid w:val="00683F8C"/>
    <w:rsid w:val="00685262"/>
    <w:rsid w:val="006852CC"/>
    <w:rsid w:val="006867FE"/>
    <w:rsid w:val="00690E3B"/>
    <w:rsid w:val="00690E4F"/>
    <w:rsid w:val="00690F9B"/>
    <w:rsid w:val="00691F6B"/>
    <w:rsid w:val="0069400B"/>
    <w:rsid w:val="0069766F"/>
    <w:rsid w:val="006A031E"/>
    <w:rsid w:val="006A06C3"/>
    <w:rsid w:val="006A09C8"/>
    <w:rsid w:val="006A2296"/>
    <w:rsid w:val="006A3061"/>
    <w:rsid w:val="006A3C11"/>
    <w:rsid w:val="006A4A9E"/>
    <w:rsid w:val="006B089A"/>
    <w:rsid w:val="006B0DAF"/>
    <w:rsid w:val="006B1FDD"/>
    <w:rsid w:val="006B2742"/>
    <w:rsid w:val="006B2F02"/>
    <w:rsid w:val="006B4773"/>
    <w:rsid w:val="006B59F0"/>
    <w:rsid w:val="006B645F"/>
    <w:rsid w:val="006B68ED"/>
    <w:rsid w:val="006B7968"/>
    <w:rsid w:val="006B7A23"/>
    <w:rsid w:val="006B7D33"/>
    <w:rsid w:val="006C0D5A"/>
    <w:rsid w:val="006C1A1C"/>
    <w:rsid w:val="006C286F"/>
    <w:rsid w:val="006C2B7B"/>
    <w:rsid w:val="006C5A0D"/>
    <w:rsid w:val="006C7497"/>
    <w:rsid w:val="006C75F9"/>
    <w:rsid w:val="006C78BD"/>
    <w:rsid w:val="006C790D"/>
    <w:rsid w:val="006C7FBF"/>
    <w:rsid w:val="006D1A6A"/>
    <w:rsid w:val="006D2786"/>
    <w:rsid w:val="006D3434"/>
    <w:rsid w:val="006D3A29"/>
    <w:rsid w:val="006D3A4C"/>
    <w:rsid w:val="006D3FA1"/>
    <w:rsid w:val="006D604F"/>
    <w:rsid w:val="006D6B8E"/>
    <w:rsid w:val="006D7094"/>
    <w:rsid w:val="006D74D6"/>
    <w:rsid w:val="006D7C32"/>
    <w:rsid w:val="006E0130"/>
    <w:rsid w:val="006E025F"/>
    <w:rsid w:val="006E0A11"/>
    <w:rsid w:val="006E11FB"/>
    <w:rsid w:val="006E2296"/>
    <w:rsid w:val="006E3084"/>
    <w:rsid w:val="006E4BA5"/>
    <w:rsid w:val="006E4D3B"/>
    <w:rsid w:val="006E6B83"/>
    <w:rsid w:val="006E6F39"/>
    <w:rsid w:val="006E7DB6"/>
    <w:rsid w:val="006F00CD"/>
    <w:rsid w:val="006F13F9"/>
    <w:rsid w:val="006F2838"/>
    <w:rsid w:val="006F288A"/>
    <w:rsid w:val="006F2D19"/>
    <w:rsid w:val="006F35C9"/>
    <w:rsid w:val="006F35D7"/>
    <w:rsid w:val="006F3FFE"/>
    <w:rsid w:val="006F4318"/>
    <w:rsid w:val="006F5781"/>
    <w:rsid w:val="006F6E1C"/>
    <w:rsid w:val="006F77B2"/>
    <w:rsid w:val="006F79CA"/>
    <w:rsid w:val="006F7E12"/>
    <w:rsid w:val="00700C09"/>
    <w:rsid w:val="00701670"/>
    <w:rsid w:val="007018B9"/>
    <w:rsid w:val="0070288D"/>
    <w:rsid w:val="00702B09"/>
    <w:rsid w:val="00704624"/>
    <w:rsid w:val="00704693"/>
    <w:rsid w:val="00704857"/>
    <w:rsid w:val="007056EA"/>
    <w:rsid w:val="00706699"/>
    <w:rsid w:val="00706AE8"/>
    <w:rsid w:val="00706D96"/>
    <w:rsid w:val="00712E0D"/>
    <w:rsid w:val="007149D3"/>
    <w:rsid w:val="007168A1"/>
    <w:rsid w:val="00716D38"/>
    <w:rsid w:val="00717D26"/>
    <w:rsid w:val="00720095"/>
    <w:rsid w:val="0072037D"/>
    <w:rsid w:val="007204B2"/>
    <w:rsid w:val="00723009"/>
    <w:rsid w:val="00723423"/>
    <w:rsid w:val="00723468"/>
    <w:rsid w:val="00723C09"/>
    <w:rsid w:val="007242BE"/>
    <w:rsid w:val="0072437E"/>
    <w:rsid w:val="007246D6"/>
    <w:rsid w:val="007264AC"/>
    <w:rsid w:val="00726D27"/>
    <w:rsid w:val="00726E62"/>
    <w:rsid w:val="007275E9"/>
    <w:rsid w:val="00727BF6"/>
    <w:rsid w:val="00727EA6"/>
    <w:rsid w:val="007327DD"/>
    <w:rsid w:val="007331B6"/>
    <w:rsid w:val="00733399"/>
    <w:rsid w:val="00734ED2"/>
    <w:rsid w:val="007357D4"/>
    <w:rsid w:val="00736A6D"/>
    <w:rsid w:val="007372F9"/>
    <w:rsid w:val="007401F0"/>
    <w:rsid w:val="00740C74"/>
    <w:rsid w:val="00742240"/>
    <w:rsid w:val="007435A1"/>
    <w:rsid w:val="007436B3"/>
    <w:rsid w:val="00744DE6"/>
    <w:rsid w:val="0074558A"/>
    <w:rsid w:val="007457D6"/>
    <w:rsid w:val="007459E6"/>
    <w:rsid w:val="007463B4"/>
    <w:rsid w:val="00747A06"/>
    <w:rsid w:val="00750003"/>
    <w:rsid w:val="0075036B"/>
    <w:rsid w:val="00752563"/>
    <w:rsid w:val="00752837"/>
    <w:rsid w:val="00752CB4"/>
    <w:rsid w:val="00755B19"/>
    <w:rsid w:val="00755F4D"/>
    <w:rsid w:val="007561EF"/>
    <w:rsid w:val="0075733D"/>
    <w:rsid w:val="007575A4"/>
    <w:rsid w:val="00760329"/>
    <w:rsid w:val="00760F34"/>
    <w:rsid w:val="00761471"/>
    <w:rsid w:val="00762110"/>
    <w:rsid w:val="00764A5C"/>
    <w:rsid w:val="00764FAB"/>
    <w:rsid w:val="0076507A"/>
    <w:rsid w:val="007652EA"/>
    <w:rsid w:val="007656DE"/>
    <w:rsid w:val="00766169"/>
    <w:rsid w:val="00766565"/>
    <w:rsid w:val="007670F1"/>
    <w:rsid w:val="007676F0"/>
    <w:rsid w:val="00770013"/>
    <w:rsid w:val="00770A6B"/>
    <w:rsid w:val="0077141F"/>
    <w:rsid w:val="0077164D"/>
    <w:rsid w:val="00773DA9"/>
    <w:rsid w:val="00774A4A"/>
    <w:rsid w:val="0078011A"/>
    <w:rsid w:val="007807DF"/>
    <w:rsid w:val="00780850"/>
    <w:rsid w:val="00780A88"/>
    <w:rsid w:val="0078153F"/>
    <w:rsid w:val="00783194"/>
    <w:rsid w:val="007834FA"/>
    <w:rsid w:val="00783B46"/>
    <w:rsid w:val="00785111"/>
    <w:rsid w:val="00785590"/>
    <w:rsid w:val="00785E25"/>
    <w:rsid w:val="007863D7"/>
    <w:rsid w:val="00787760"/>
    <w:rsid w:val="00787D5E"/>
    <w:rsid w:val="0079073F"/>
    <w:rsid w:val="00790B10"/>
    <w:rsid w:val="007920DB"/>
    <w:rsid w:val="007922D6"/>
    <w:rsid w:val="00792C5F"/>
    <w:rsid w:val="00794406"/>
    <w:rsid w:val="0079617B"/>
    <w:rsid w:val="007A0843"/>
    <w:rsid w:val="007A13CB"/>
    <w:rsid w:val="007A1637"/>
    <w:rsid w:val="007A401F"/>
    <w:rsid w:val="007A44AA"/>
    <w:rsid w:val="007A5440"/>
    <w:rsid w:val="007A5564"/>
    <w:rsid w:val="007A658C"/>
    <w:rsid w:val="007A6672"/>
    <w:rsid w:val="007B22B1"/>
    <w:rsid w:val="007B2555"/>
    <w:rsid w:val="007B487C"/>
    <w:rsid w:val="007B5EB5"/>
    <w:rsid w:val="007B602A"/>
    <w:rsid w:val="007B70E7"/>
    <w:rsid w:val="007C09CD"/>
    <w:rsid w:val="007C14E6"/>
    <w:rsid w:val="007C1DC5"/>
    <w:rsid w:val="007C2208"/>
    <w:rsid w:val="007C22D2"/>
    <w:rsid w:val="007C2B14"/>
    <w:rsid w:val="007C4592"/>
    <w:rsid w:val="007C4618"/>
    <w:rsid w:val="007C4A1C"/>
    <w:rsid w:val="007C508A"/>
    <w:rsid w:val="007C6932"/>
    <w:rsid w:val="007C7805"/>
    <w:rsid w:val="007D024A"/>
    <w:rsid w:val="007D0263"/>
    <w:rsid w:val="007D1052"/>
    <w:rsid w:val="007D1522"/>
    <w:rsid w:val="007D3A66"/>
    <w:rsid w:val="007D4054"/>
    <w:rsid w:val="007D4502"/>
    <w:rsid w:val="007D5F7B"/>
    <w:rsid w:val="007D68F7"/>
    <w:rsid w:val="007D7FF0"/>
    <w:rsid w:val="007E0221"/>
    <w:rsid w:val="007E069C"/>
    <w:rsid w:val="007E111E"/>
    <w:rsid w:val="007E11ED"/>
    <w:rsid w:val="007E1428"/>
    <w:rsid w:val="007E2ADE"/>
    <w:rsid w:val="007E33BF"/>
    <w:rsid w:val="007E3BF4"/>
    <w:rsid w:val="007E46B3"/>
    <w:rsid w:val="007E498E"/>
    <w:rsid w:val="007E5081"/>
    <w:rsid w:val="007E5912"/>
    <w:rsid w:val="007E5A49"/>
    <w:rsid w:val="007E5F0A"/>
    <w:rsid w:val="007E6697"/>
    <w:rsid w:val="007E79E8"/>
    <w:rsid w:val="007F341B"/>
    <w:rsid w:val="007F34C3"/>
    <w:rsid w:val="007F4D3E"/>
    <w:rsid w:val="007F5944"/>
    <w:rsid w:val="007F59D1"/>
    <w:rsid w:val="007F61A3"/>
    <w:rsid w:val="007F61B5"/>
    <w:rsid w:val="007F694E"/>
    <w:rsid w:val="007F7069"/>
    <w:rsid w:val="007F7B5A"/>
    <w:rsid w:val="00800F07"/>
    <w:rsid w:val="00801CFC"/>
    <w:rsid w:val="00801E14"/>
    <w:rsid w:val="00802691"/>
    <w:rsid w:val="00802E89"/>
    <w:rsid w:val="008033AA"/>
    <w:rsid w:val="008040E4"/>
    <w:rsid w:val="008041BD"/>
    <w:rsid w:val="008044E8"/>
    <w:rsid w:val="008057B4"/>
    <w:rsid w:val="0080686A"/>
    <w:rsid w:val="0081010F"/>
    <w:rsid w:val="008106D8"/>
    <w:rsid w:val="00811FB2"/>
    <w:rsid w:val="0081212C"/>
    <w:rsid w:val="00812DA7"/>
    <w:rsid w:val="008132D5"/>
    <w:rsid w:val="0081393D"/>
    <w:rsid w:val="00813BDE"/>
    <w:rsid w:val="00813C60"/>
    <w:rsid w:val="008140C0"/>
    <w:rsid w:val="008148E5"/>
    <w:rsid w:val="00814CF9"/>
    <w:rsid w:val="00814E5D"/>
    <w:rsid w:val="00815399"/>
    <w:rsid w:val="008155B6"/>
    <w:rsid w:val="00815777"/>
    <w:rsid w:val="00815D12"/>
    <w:rsid w:val="00816BDC"/>
    <w:rsid w:val="008203FA"/>
    <w:rsid w:val="00821A6E"/>
    <w:rsid w:val="00822F1F"/>
    <w:rsid w:val="00823992"/>
    <w:rsid w:val="00824DB7"/>
    <w:rsid w:val="00825269"/>
    <w:rsid w:val="00825E96"/>
    <w:rsid w:val="0082760E"/>
    <w:rsid w:val="008321D5"/>
    <w:rsid w:val="00833999"/>
    <w:rsid w:val="00834427"/>
    <w:rsid w:val="0083561D"/>
    <w:rsid w:val="0083595D"/>
    <w:rsid w:val="008362F1"/>
    <w:rsid w:val="008369BA"/>
    <w:rsid w:val="00837B1D"/>
    <w:rsid w:val="00837C1B"/>
    <w:rsid w:val="00840916"/>
    <w:rsid w:val="0084127C"/>
    <w:rsid w:val="00842629"/>
    <w:rsid w:val="008431E9"/>
    <w:rsid w:val="008439B1"/>
    <w:rsid w:val="00844EB9"/>
    <w:rsid w:val="00845C03"/>
    <w:rsid w:val="00845DE7"/>
    <w:rsid w:val="0084630D"/>
    <w:rsid w:val="00847B76"/>
    <w:rsid w:val="00851C79"/>
    <w:rsid w:val="00851D8C"/>
    <w:rsid w:val="008522E4"/>
    <w:rsid w:val="008525CC"/>
    <w:rsid w:val="00854D0C"/>
    <w:rsid w:val="00855A92"/>
    <w:rsid w:val="00860453"/>
    <w:rsid w:val="0086053E"/>
    <w:rsid w:val="008615A4"/>
    <w:rsid w:val="0086268F"/>
    <w:rsid w:val="00864C65"/>
    <w:rsid w:val="00864EAB"/>
    <w:rsid w:val="0086551E"/>
    <w:rsid w:val="00865B8B"/>
    <w:rsid w:val="00865F6A"/>
    <w:rsid w:val="00867051"/>
    <w:rsid w:val="0087252B"/>
    <w:rsid w:val="008727DC"/>
    <w:rsid w:val="0087289C"/>
    <w:rsid w:val="00873999"/>
    <w:rsid w:val="00873A99"/>
    <w:rsid w:val="008743C3"/>
    <w:rsid w:val="008743E1"/>
    <w:rsid w:val="00876BEC"/>
    <w:rsid w:val="008820E5"/>
    <w:rsid w:val="00882A03"/>
    <w:rsid w:val="00883193"/>
    <w:rsid w:val="00883400"/>
    <w:rsid w:val="00884D97"/>
    <w:rsid w:val="0088532D"/>
    <w:rsid w:val="0088606E"/>
    <w:rsid w:val="00886B72"/>
    <w:rsid w:val="008875CC"/>
    <w:rsid w:val="00887DB2"/>
    <w:rsid w:val="008909A4"/>
    <w:rsid w:val="00893F8F"/>
    <w:rsid w:val="008941FE"/>
    <w:rsid w:val="00895975"/>
    <w:rsid w:val="00896436"/>
    <w:rsid w:val="008969B8"/>
    <w:rsid w:val="008A03EF"/>
    <w:rsid w:val="008A06A7"/>
    <w:rsid w:val="008A0F2C"/>
    <w:rsid w:val="008A12FE"/>
    <w:rsid w:val="008A1EDA"/>
    <w:rsid w:val="008A37A4"/>
    <w:rsid w:val="008A4E1F"/>
    <w:rsid w:val="008A5046"/>
    <w:rsid w:val="008A56FE"/>
    <w:rsid w:val="008A6071"/>
    <w:rsid w:val="008A733E"/>
    <w:rsid w:val="008A753D"/>
    <w:rsid w:val="008A7A78"/>
    <w:rsid w:val="008A7AEB"/>
    <w:rsid w:val="008B11DB"/>
    <w:rsid w:val="008B128C"/>
    <w:rsid w:val="008B3B8C"/>
    <w:rsid w:val="008B4CA2"/>
    <w:rsid w:val="008B51F5"/>
    <w:rsid w:val="008B5742"/>
    <w:rsid w:val="008B5B03"/>
    <w:rsid w:val="008B682D"/>
    <w:rsid w:val="008C0235"/>
    <w:rsid w:val="008C0D55"/>
    <w:rsid w:val="008C0D85"/>
    <w:rsid w:val="008C0FF0"/>
    <w:rsid w:val="008C1542"/>
    <w:rsid w:val="008C1872"/>
    <w:rsid w:val="008C3B6E"/>
    <w:rsid w:val="008C42F9"/>
    <w:rsid w:val="008C43DA"/>
    <w:rsid w:val="008C51CA"/>
    <w:rsid w:val="008C74FE"/>
    <w:rsid w:val="008C7D9F"/>
    <w:rsid w:val="008D0CA3"/>
    <w:rsid w:val="008D0D93"/>
    <w:rsid w:val="008D102F"/>
    <w:rsid w:val="008D16E0"/>
    <w:rsid w:val="008D1A6D"/>
    <w:rsid w:val="008D3329"/>
    <w:rsid w:val="008D3B13"/>
    <w:rsid w:val="008D3E8E"/>
    <w:rsid w:val="008D4E2D"/>
    <w:rsid w:val="008D4E50"/>
    <w:rsid w:val="008D57F5"/>
    <w:rsid w:val="008D7501"/>
    <w:rsid w:val="008D765B"/>
    <w:rsid w:val="008D7A27"/>
    <w:rsid w:val="008D7F13"/>
    <w:rsid w:val="008E0989"/>
    <w:rsid w:val="008E0DDC"/>
    <w:rsid w:val="008E300B"/>
    <w:rsid w:val="008E3A43"/>
    <w:rsid w:val="008E3E5A"/>
    <w:rsid w:val="008E40B4"/>
    <w:rsid w:val="008E442E"/>
    <w:rsid w:val="008E4CCB"/>
    <w:rsid w:val="008E6353"/>
    <w:rsid w:val="008E63B4"/>
    <w:rsid w:val="008E6683"/>
    <w:rsid w:val="008E755A"/>
    <w:rsid w:val="008E7A31"/>
    <w:rsid w:val="008E7FD0"/>
    <w:rsid w:val="008F0C63"/>
    <w:rsid w:val="008F216D"/>
    <w:rsid w:val="008F293A"/>
    <w:rsid w:val="008F33F8"/>
    <w:rsid w:val="008F49DE"/>
    <w:rsid w:val="008F5271"/>
    <w:rsid w:val="008F5792"/>
    <w:rsid w:val="00900820"/>
    <w:rsid w:val="0090178F"/>
    <w:rsid w:val="009017BA"/>
    <w:rsid w:val="009029B2"/>
    <w:rsid w:val="00903EC2"/>
    <w:rsid w:val="00903EE4"/>
    <w:rsid w:val="009064D2"/>
    <w:rsid w:val="00907089"/>
    <w:rsid w:val="00907218"/>
    <w:rsid w:val="00910025"/>
    <w:rsid w:val="0091022B"/>
    <w:rsid w:val="009102D4"/>
    <w:rsid w:val="00910D6D"/>
    <w:rsid w:val="00911ABE"/>
    <w:rsid w:val="0091247F"/>
    <w:rsid w:val="00913037"/>
    <w:rsid w:val="0091370C"/>
    <w:rsid w:val="009142E6"/>
    <w:rsid w:val="00914890"/>
    <w:rsid w:val="00914D35"/>
    <w:rsid w:val="00916627"/>
    <w:rsid w:val="00916666"/>
    <w:rsid w:val="0091705E"/>
    <w:rsid w:val="0091775A"/>
    <w:rsid w:val="0091787F"/>
    <w:rsid w:val="0092063C"/>
    <w:rsid w:val="00920813"/>
    <w:rsid w:val="00921CB0"/>
    <w:rsid w:val="00922EE4"/>
    <w:rsid w:val="0092379B"/>
    <w:rsid w:val="0092389C"/>
    <w:rsid w:val="00926055"/>
    <w:rsid w:val="00927001"/>
    <w:rsid w:val="009301C4"/>
    <w:rsid w:val="00930DDA"/>
    <w:rsid w:val="00931432"/>
    <w:rsid w:val="00931ABA"/>
    <w:rsid w:val="0093237F"/>
    <w:rsid w:val="0093256D"/>
    <w:rsid w:val="00932E72"/>
    <w:rsid w:val="009331D4"/>
    <w:rsid w:val="00933F12"/>
    <w:rsid w:val="00934A2F"/>
    <w:rsid w:val="00934CA2"/>
    <w:rsid w:val="00935325"/>
    <w:rsid w:val="00935957"/>
    <w:rsid w:val="009359A5"/>
    <w:rsid w:val="00935A93"/>
    <w:rsid w:val="00936BD1"/>
    <w:rsid w:val="00936C01"/>
    <w:rsid w:val="0093774A"/>
    <w:rsid w:val="0094083E"/>
    <w:rsid w:val="00941356"/>
    <w:rsid w:val="009430E3"/>
    <w:rsid w:val="009431CD"/>
    <w:rsid w:val="00944196"/>
    <w:rsid w:val="009457F3"/>
    <w:rsid w:val="00945CD9"/>
    <w:rsid w:val="00945D9A"/>
    <w:rsid w:val="00946325"/>
    <w:rsid w:val="00946949"/>
    <w:rsid w:val="00946CB3"/>
    <w:rsid w:val="009473EF"/>
    <w:rsid w:val="009505E0"/>
    <w:rsid w:val="00950E6C"/>
    <w:rsid w:val="00951086"/>
    <w:rsid w:val="00953ABB"/>
    <w:rsid w:val="00953B00"/>
    <w:rsid w:val="00955331"/>
    <w:rsid w:val="0095548B"/>
    <w:rsid w:val="00955FF8"/>
    <w:rsid w:val="009576A4"/>
    <w:rsid w:val="0095774D"/>
    <w:rsid w:val="009626F0"/>
    <w:rsid w:val="00964142"/>
    <w:rsid w:val="00964862"/>
    <w:rsid w:val="009656A2"/>
    <w:rsid w:val="009659EE"/>
    <w:rsid w:val="0096738B"/>
    <w:rsid w:val="0097015D"/>
    <w:rsid w:val="0097093C"/>
    <w:rsid w:val="009709C4"/>
    <w:rsid w:val="00970F67"/>
    <w:rsid w:val="00971F95"/>
    <w:rsid w:val="00972470"/>
    <w:rsid w:val="00972546"/>
    <w:rsid w:val="00973335"/>
    <w:rsid w:val="00974996"/>
    <w:rsid w:val="00975555"/>
    <w:rsid w:val="00975ACB"/>
    <w:rsid w:val="00980818"/>
    <w:rsid w:val="00980D33"/>
    <w:rsid w:val="0098128E"/>
    <w:rsid w:val="0098164A"/>
    <w:rsid w:val="00982542"/>
    <w:rsid w:val="009827C3"/>
    <w:rsid w:val="00984307"/>
    <w:rsid w:val="00984389"/>
    <w:rsid w:val="00984D94"/>
    <w:rsid w:val="00985774"/>
    <w:rsid w:val="00985C55"/>
    <w:rsid w:val="00985D33"/>
    <w:rsid w:val="00985F86"/>
    <w:rsid w:val="00990875"/>
    <w:rsid w:val="00990B0B"/>
    <w:rsid w:val="00990BE8"/>
    <w:rsid w:val="00991044"/>
    <w:rsid w:val="00991203"/>
    <w:rsid w:val="00994731"/>
    <w:rsid w:val="00995145"/>
    <w:rsid w:val="009954BE"/>
    <w:rsid w:val="0099586F"/>
    <w:rsid w:val="00995AB3"/>
    <w:rsid w:val="00997A3A"/>
    <w:rsid w:val="009A2599"/>
    <w:rsid w:val="009A6007"/>
    <w:rsid w:val="009A68CC"/>
    <w:rsid w:val="009A7C76"/>
    <w:rsid w:val="009A7EF7"/>
    <w:rsid w:val="009B02E7"/>
    <w:rsid w:val="009B05E5"/>
    <w:rsid w:val="009B06D5"/>
    <w:rsid w:val="009B18A5"/>
    <w:rsid w:val="009B26F3"/>
    <w:rsid w:val="009B4792"/>
    <w:rsid w:val="009B546C"/>
    <w:rsid w:val="009B5D34"/>
    <w:rsid w:val="009B5D64"/>
    <w:rsid w:val="009B5FE1"/>
    <w:rsid w:val="009B752D"/>
    <w:rsid w:val="009C0486"/>
    <w:rsid w:val="009C0E49"/>
    <w:rsid w:val="009C1055"/>
    <w:rsid w:val="009C19CA"/>
    <w:rsid w:val="009C1A0D"/>
    <w:rsid w:val="009C1F03"/>
    <w:rsid w:val="009C3AB4"/>
    <w:rsid w:val="009C4945"/>
    <w:rsid w:val="009C705E"/>
    <w:rsid w:val="009D0527"/>
    <w:rsid w:val="009D0BEB"/>
    <w:rsid w:val="009D1C38"/>
    <w:rsid w:val="009D239B"/>
    <w:rsid w:val="009D2766"/>
    <w:rsid w:val="009D4730"/>
    <w:rsid w:val="009D4A0B"/>
    <w:rsid w:val="009D5E41"/>
    <w:rsid w:val="009D6C56"/>
    <w:rsid w:val="009D737A"/>
    <w:rsid w:val="009D7799"/>
    <w:rsid w:val="009D7D46"/>
    <w:rsid w:val="009E0BD8"/>
    <w:rsid w:val="009E0CEE"/>
    <w:rsid w:val="009E10A2"/>
    <w:rsid w:val="009E1291"/>
    <w:rsid w:val="009E1BB7"/>
    <w:rsid w:val="009E41BD"/>
    <w:rsid w:val="009E46F7"/>
    <w:rsid w:val="009E480A"/>
    <w:rsid w:val="009E559A"/>
    <w:rsid w:val="009E5904"/>
    <w:rsid w:val="009E5A6F"/>
    <w:rsid w:val="009E6444"/>
    <w:rsid w:val="009E6619"/>
    <w:rsid w:val="009E67C6"/>
    <w:rsid w:val="009E6F71"/>
    <w:rsid w:val="009E7110"/>
    <w:rsid w:val="009E7874"/>
    <w:rsid w:val="009E7FB6"/>
    <w:rsid w:val="009F0686"/>
    <w:rsid w:val="009F0701"/>
    <w:rsid w:val="009F0A89"/>
    <w:rsid w:val="009F1D03"/>
    <w:rsid w:val="009F255F"/>
    <w:rsid w:val="009F46ED"/>
    <w:rsid w:val="009F5053"/>
    <w:rsid w:val="009F50F3"/>
    <w:rsid w:val="009F5271"/>
    <w:rsid w:val="009F7361"/>
    <w:rsid w:val="009F7A52"/>
    <w:rsid w:val="009F7FD7"/>
    <w:rsid w:val="00A0297B"/>
    <w:rsid w:val="00A03FD4"/>
    <w:rsid w:val="00A05688"/>
    <w:rsid w:val="00A05AAB"/>
    <w:rsid w:val="00A05BB5"/>
    <w:rsid w:val="00A0684D"/>
    <w:rsid w:val="00A06B01"/>
    <w:rsid w:val="00A11C47"/>
    <w:rsid w:val="00A12A2A"/>
    <w:rsid w:val="00A12B61"/>
    <w:rsid w:val="00A13D78"/>
    <w:rsid w:val="00A14005"/>
    <w:rsid w:val="00A14170"/>
    <w:rsid w:val="00A14805"/>
    <w:rsid w:val="00A14B29"/>
    <w:rsid w:val="00A15586"/>
    <w:rsid w:val="00A15A27"/>
    <w:rsid w:val="00A15B0E"/>
    <w:rsid w:val="00A2136A"/>
    <w:rsid w:val="00A22E6C"/>
    <w:rsid w:val="00A233D6"/>
    <w:rsid w:val="00A2364B"/>
    <w:rsid w:val="00A242FD"/>
    <w:rsid w:val="00A2449B"/>
    <w:rsid w:val="00A2489B"/>
    <w:rsid w:val="00A24F44"/>
    <w:rsid w:val="00A30144"/>
    <w:rsid w:val="00A312D3"/>
    <w:rsid w:val="00A3288C"/>
    <w:rsid w:val="00A32D46"/>
    <w:rsid w:val="00A34456"/>
    <w:rsid w:val="00A360B0"/>
    <w:rsid w:val="00A361DB"/>
    <w:rsid w:val="00A36507"/>
    <w:rsid w:val="00A36A8C"/>
    <w:rsid w:val="00A40F7E"/>
    <w:rsid w:val="00A41B4D"/>
    <w:rsid w:val="00A41C84"/>
    <w:rsid w:val="00A43198"/>
    <w:rsid w:val="00A43F63"/>
    <w:rsid w:val="00A44DC8"/>
    <w:rsid w:val="00A4581A"/>
    <w:rsid w:val="00A45F0B"/>
    <w:rsid w:val="00A4692F"/>
    <w:rsid w:val="00A47706"/>
    <w:rsid w:val="00A4779E"/>
    <w:rsid w:val="00A47AA0"/>
    <w:rsid w:val="00A5043D"/>
    <w:rsid w:val="00A5154E"/>
    <w:rsid w:val="00A52A82"/>
    <w:rsid w:val="00A55187"/>
    <w:rsid w:val="00A554B6"/>
    <w:rsid w:val="00A5763F"/>
    <w:rsid w:val="00A604B1"/>
    <w:rsid w:val="00A60C32"/>
    <w:rsid w:val="00A614E6"/>
    <w:rsid w:val="00A61D95"/>
    <w:rsid w:val="00A61EAB"/>
    <w:rsid w:val="00A62C7C"/>
    <w:rsid w:val="00A63922"/>
    <w:rsid w:val="00A64369"/>
    <w:rsid w:val="00A6481D"/>
    <w:rsid w:val="00A64838"/>
    <w:rsid w:val="00A64C3C"/>
    <w:rsid w:val="00A6504C"/>
    <w:rsid w:val="00A651FD"/>
    <w:rsid w:val="00A6552B"/>
    <w:rsid w:val="00A65F92"/>
    <w:rsid w:val="00A660CE"/>
    <w:rsid w:val="00A669E4"/>
    <w:rsid w:val="00A67465"/>
    <w:rsid w:val="00A679F0"/>
    <w:rsid w:val="00A70D1C"/>
    <w:rsid w:val="00A70D4B"/>
    <w:rsid w:val="00A70E4F"/>
    <w:rsid w:val="00A70FA8"/>
    <w:rsid w:val="00A71E22"/>
    <w:rsid w:val="00A7202A"/>
    <w:rsid w:val="00A7233C"/>
    <w:rsid w:val="00A73433"/>
    <w:rsid w:val="00A73B2F"/>
    <w:rsid w:val="00A745B3"/>
    <w:rsid w:val="00A746E0"/>
    <w:rsid w:val="00A75050"/>
    <w:rsid w:val="00A7594A"/>
    <w:rsid w:val="00A75D8E"/>
    <w:rsid w:val="00A75EE9"/>
    <w:rsid w:val="00A76239"/>
    <w:rsid w:val="00A76A2B"/>
    <w:rsid w:val="00A76C62"/>
    <w:rsid w:val="00A776D8"/>
    <w:rsid w:val="00A77C08"/>
    <w:rsid w:val="00A80379"/>
    <w:rsid w:val="00A80BA4"/>
    <w:rsid w:val="00A81BB0"/>
    <w:rsid w:val="00A8266D"/>
    <w:rsid w:val="00A82C16"/>
    <w:rsid w:val="00A8300F"/>
    <w:rsid w:val="00A8352F"/>
    <w:rsid w:val="00A84065"/>
    <w:rsid w:val="00A84647"/>
    <w:rsid w:val="00A84C41"/>
    <w:rsid w:val="00A90337"/>
    <w:rsid w:val="00A90894"/>
    <w:rsid w:val="00A92C98"/>
    <w:rsid w:val="00A93439"/>
    <w:rsid w:val="00A947B8"/>
    <w:rsid w:val="00A94D60"/>
    <w:rsid w:val="00A9526A"/>
    <w:rsid w:val="00A96B08"/>
    <w:rsid w:val="00AA01E4"/>
    <w:rsid w:val="00AA074F"/>
    <w:rsid w:val="00AA2764"/>
    <w:rsid w:val="00AA31A1"/>
    <w:rsid w:val="00AA34D2"/>
    <w:rsid w:val="00AA5646"/>
    <w:rsid w:val="00AA6517"/>
    <w:rsid w:val="00AB0199"/>
    <w:rsid w:val="00AB039C"/>
    <w:rsid w:val="00AB042B"/>
    <w:rsid w:val="00AB1924"/>
    <w:rsid w:val="00AB1A99"/>
    <w:rsid w:val="00AB29BD"/>
    <w:rsid w:val="00AB4890"/>
    <w:rsid w:val="00AB4C62"/>
    <w:rsid w:val="00AB51F5"/>
    <w:rsid w:val="00AB797C"/>
    <w:rsid w:val="00AC0F01"/>
    <w:rsid w:val="00AC1AFB"/>
    <w:rsid w:val="00AC1DDD"/>
    <w:rsid w:val="00AC2193"/>
    <w:rsid w:val="00AC363D"/>
    <w:rsid w:val="00AC3C05"/>
    <w:rsid w:val="00AC5463"/>
    <w:rsid w:val="00AC54B1"/>
    <w:rsid w:val="00AC6511"/>
    <w:rsid w:val="00AC688D"/>
    <w:rsid w:val="00AC793F"/>
    <w:rsid w:val="00AC79CE"/>
    <w:rsid w:val="00AC7F44"/>
    <w:rsid w:val="00AD00B5"/>
    <w:rsid w:val="00AD0D7D"/>
    <w:rsid w:val="00AD19BD"/>
    <w:rsid w:val="00AD30C8"/>
    <w:rsid w:val="00AD372D"/>
    <w:rsid w:val="00AD461F"/>
    <w:rsid w:val="00AD547B"/>
    <w:rsid w:val="00AD5F00"/>
    <w:rsid w:val="00AD672D"/>
    <w:rsid w:val="00AD6893"/>
    <w:rsid w:val="00AD68B3"/>
    <w:rsid w:val="00AD6B43"/>
    <w:rsid w:val="00AE2401"/>
    <w:rsid w:val="00AE2573"/>
    <w:rsid w:val="00AE2933"/>
    <w:rsid w:val="00AE34A9"/>
    <w:rsid w:val="00AE55FB"/>
    <w:rsid w:val="00AE5C24"/>
    <w:rsid w:val="00AE6FAC"/>
    <w:rsid w:val="00AE718C"/>
    <w:rsid w:val="00AF1E82"/>
    <w:rsid w:val="00AF217F"/>
    <w:rsid w:val="00AF27E2"/>
    <w:rsid w:val="00AF2B25"/>
    <w:rsid w:val="00AF2EF3"/>
    <w:rsid w:val="00AF3C2D"/>
    <w:rsid w:val="00AF4161"/>
    <w:rsid w:val="00AF4EDC"/>
    <w:rsid w:val="00AF5B15"/>
    <w:rsid w:val="00AF6AA6"/>
    <w:rsid w:val="00AF6D1D"/>
    <w:rsid w:val="00AF7F83"/>
    <w:rsid w:val="00B00122"/>
    <w:rsid w:val="00B01DF7"/>
    <w:rsid w:val="00B03F55"/>
    <w:rsid w:val="00B04BE0"/>
    <w:rsid w:val="00B04CEE"/>
    <w:rsid w:val="00B05609"/>
    <w:rsid w:val="00B06163"/>
    <w:rsid w:val="00B075DC"/>
    <w:rsid w:val="00B07925"/>
    <w:rsid w:val="00B07CF2"/>
    <w:rsid w:val="00B122FA"/>
    <w:rsid w:val="00B12ECC"/>
    <w:rsid w:val="00B1349F"/>
    <w:rsid w:val="00B14FFF"/>
    <w:rsid w:val="00B15840"/>
    <w:rsid w:val="00B15DF8"/>
    <w:rsid w:val="00B20D92"/>
    <w:rsid w:val="00B21E89"/>
    <w:rsid w:val="00B23564"/>
    <w:rsid w:val="00B23C93"/>
    <w:rsid w:val="00B24A4E"/>
    <w:rsid w:val="00B24E34"/>
    <w:rsid w:val="00B25597"/>
    <w:rsid w:val="00B26286"/>
    <w:rsid w:val="00B2645A"/>
    <w:rsid w:val="00B27090"/>
    <w:rsid w:val="00B2757A"/>
    <w:rsid w:val="00B311AA"/>
    <w:rsid w:val="00B31706"/>
    <w:rsid w:val="00B31F86"/>
    <w:rsid w:val="00B33B7C"/>
    <w:rsid w:val="00B33DAF"/>
    <w:rsid w:val="00B34907"/>
    <w:rsid w:val="00B3611F"/>
    <w:rsid w:val="00B36ADA"/>
    <w:rsid w:val="00B370CD"/>
    <w:rsid w:val="00B411E7"/>
    <w:rsid w:val="00B41BC3"/>
    <w:rsid w:val="00B42E19"/>
    <w:rsid w:val="00B438EF"/>
    <w:rsid w:val="00B439E9"/>
    <w:rsid w:val="00B45476"/>
    <w:rsid w:val="00B50ACB"/>
    <w:rsid w:val="00B52125"/>
    <w:rsid w:val="00B531EE"/>
    <w:rsid w:val="00B53BD0"/>
    <w:rsid w:val="00B53EE0"/>
    <w:rsid w:val="00B53FE3"/>
    <w:rsid w:val="00B53FE5"/>
    <w:rsid w:val="00B560E3"/>
    <w:rsid w:val="00B56279"/>
    <w:rsid w:val="00B56688"/>
    <w:rsid w:val="00B568E8"/>
    <w:rsid w:val="00B56AA8"/>
    <w:rsid w:val="00B56BF4"/>
    <w:rsid w:val="00B56D3C"/>
    <w:rsid w:val="00B572D3"/>
    <w:rsid w:val="00B573B4"/>
    <w:rsid w:val="00B60A9F"/>
    <w:rsid w:val="00B61FFC"/>
    <w:rsid w:val="00B62F69"/>
    <w:rsid w:val="00B63A78"/>
    <w:rsid w:val="00B648AC"/>
    <w:rsid w:val="00B64F5F"/>
    <w:rsid w:val="00B67B90"/>
    <w:rsid w:val="00B703BC"/>
    <w:rsid w:val="00B70BCD"/>
    <w:rsid w:val="00B721BF"/>
    <w:rsid w:val="00B72D97"/>
    <w:rsid w:val="00B74915"/>
    <w:rsid w:val="00B76162"/>
    <w:rsid w:val="00B76A59"/>
    <w:rsid w:val="00B77B58"/>
    <w:rsid w:val="00B77DA4"/>
    <w:rsid w:val="00B804CB"/>
    <w:rsid w:val="00B817BD"/>
    <w:rsid w:val="00B83CCE"/>
    <w:rsid w:val="00B840B0"/>
    <w:rsid w:val="00B8443E"/>
    <w:rsid w:val="00B84859"/>
    <w:rsid w:val="00B853AA"/>
    <w:rsid w:val="00B90784"/>
    <w:rsid w:val="00B91E81"/>
    <w:rsid w:val="00B9439B"/>
    <w:rsid w:val="00B9463C"/>
    <w:rsid w:val="00B94FAD"/>
    <w:rsid w:val="00B9507E"/>
    <w:rsid w:val="00B952BF"/>
    <w:rsid w:val="00B96904"/>
    <w:rsid w:val="00B96DDA"/>
    <w:rsid w:val="00BA0194"/>
    <w:rsid w:val="00BA06D3"/>
    <w:rsid w:val="00BA0C6B"/>
    <w:rsid w:val="00BA0D21"/>
    <w:rsid w:val="00BA0DEC"/>
    <w:rsid w:val="00BA1598"/>
    <w:rsid w:val="00BA24DC"/>
    <w:rsid w:val="00BA2686"/>
    <w:rsid w:val="00BA2968"/>
    <w:rsid w:val="00BA29D6"/>
    <w:rsid w:val="00BA3A17"/>
    <w:rsid w:val="00BA3A9D"/>
    <w:rsid w:val="00BA412A"/>
    <w:rsid w:val="00BA42C7"/>
    <w:rsid w:val="00BA551A"/>
    <w:rsid w:val="00BA61DD"/>
    <w:rsid w:val="00BB0467"/>
    <w:rsid w:val="00BB0AE6"/>
    <w:rsid w:val="00BB136E"/>
    <w:rsid w:val="00BB1977"/>
    <w:rsid w:val="00BB3489"/>
    <w:rsid w:val="00BB4B4F"/>
    <w:rsid w:val="00BC09D0"/>
    <w:rsid w:val="00BC0CD3"/>
    <w:rsid w:val="00BC106B"/>
    <w:rsid w:val="00BC3240"/>
    <w:rsid w:val="00BC3761"/>
    <w:rsid w:val="00BC3C3A"/>
    <w:rsid w:val="00BC469A"/>
    <w:rsid w:val="00BC52E7"/>
    <w:rsid w:val="00BC776B"/>
    <w:rsid w:val="00BD03A6"/>
    <w:rsid w:val="00BD075D"/>
    <w:rsid w:val="00BD159E"/>
    <w:rsid w:val="00BD244F"/>
    <w:rsid w:val="00BD2A1E"/>
    <w:rsid w:val="00BD45AF"/>
    <w:rsid w:val="00BD4C2D"/>
    <w:rsid w:val="00BD776A"/>
    <w:rsid w:val="00BD7881"/>
    <w:rsid w:val="00BD7C32"/>
    <w:rsid w:val="00BD7D72"/>
    <w:rsid w:val="00BD7FEE"/>
    <w:rsid w:val="00BE1F44"/>
    <w:rsid w:val="00BE3944"/>
    <w:rsid w:val="00BE6A30"/>
    <w:rsid w:val="00BE6E14"/>
    <w:rsid w:val="00BE6E60"/>
    <w:rsid w:val="00BE7087"/>
    <w:rsid w:val="00BF028E"/>
    <w:rsid w:val="00BF0F69"/>
    <w:rsid w:val="00BF1504"/>
    <w:rsid w:val="00BF16D5"/>
    <w:rsid w:val="00BF2546"/>
    <w:rsid w:val="00BF5504"/>
    <w:rsid w:val="00BF5B7F"/>
    <w:rsid w:val="00BF7372"/>
    <w:rsid w:val="00BF7390"/>
    <w:rsid w:val="00C01C4A"/>
    <w:rsid w:val="00C01D8E"/>
    <w:rsid w:val="00C030CF"/>
    <w:rsid w:val="00C037F1"/>
    <w:rsid w:val="00C03D76"/>
    <w:rsid w:val="00C04762"/>
    <w:rsid w:val="00C04D90"/>
    <w:rsid w:val="00C050C7"/>
    <w:rsid w:val="00C0572E"/>
    <w:rsid w:val="00C05BAB"/>
    <w:rsid w:val="00C068B6"/>
    <w:rsid w:val="00C06943"/>
    <w:rsid w:val="00C07689"/>
    <w:rsid w:val="00C07B98"/>
    <w:rsid w:val="00C1288F"/>
    <w:rsid w:val="00C13140"/>
    <w:rsid w:val="00C133B4"/>
    <w:rsid w:val="00C14ECB"/>
    <w:rsid w:val="00C15F62"/>
    <w:rsid w:val="00C1634C"/>
    <w:rsid w:val="00C167F3"/>
    <w:rsid w:val="00C17891"/>
    <w:rsid w:val="00C17A07"/>
    <w:rsid w:val="00C20199"/>
    <w:rsid w:val="00C2089D"/>
    <w:rsid w:val="00C20F1B"/>
    <w:rsid w:val="00C21E06"/>
    <w:rsid w:val="00C23467"/>
    <w:rsid w:val="00C24C77"/>
    <w:rsid w:val="00C25125"/>
    <w:rsid w:val="00C25D72"/>
    <w:rsid w:val="00C26872"/>
    <w:rsid w:val="00C269E5"/>
    <w:rsid w:val="00C27FAE"/>
    <w:rsid w:val="00C30D89"/>
    <w:rsid w:val="00C31933"/>
    <w:rsid w:val="00C31DB2"/>
    <w:rsid w:val="00C334F9"/>
    <w:rsid w:val="00C35504"/>
    <w:rsid w:val="00C369FD"/>
    <w:rsid w:val="00C375C7"/>
    <w:rsid w:val="00C37615"/>
    <w:rsid w:val="00C3778D"/>
    <w:rsid w:val="00C42E23"/>
    <w:rsid w:val="00C43C2B"/>
    <w:rsid w:val="00C449CE"/>
    <w:rsid w:val="00C461F6"/>
    <w:rsid w:val="00C46DA8"/>
    <w:rsid w:val="00C47806"/>
    <w:rsid w:val="00C50B17"/>
    <w:rsid w:val="00C50F5C"/>
    <w:rsid w:val="00C52A8B"/>
    <w:rsid w:val="00C5411A"/>
    <w:rsid w:val="00C55F14"/>
    <w:rsid w:val="00C57520"/>
    <w:rsid w:val="00C578BA"/>
    <w:rsid w:val="00C60CB2"/>
    <w:rsid w:val="00C6140B"/>
    <w:rsid w:val="00C62914"/>
    <w:rsid w:val="00C65349"/>
    <w:rsid w:val="00C6791E"/>
    <w:rsid w:val="00C701C2"/>
    <w:rsid w:val="00C70556"/>
    <w:rsid w:val="00C72AA3"/>
    <w:rsid w:val="00C7468E"/>
    <w:rsid w:val="00C7474D"/>
    <w:rsid w:val="00C753E2"/>
    <w:rsid w:val="00C768BC"/>
    <w:rsid w:val="00C76B2E"/>
    <w:rsid w:val="00C76DE4"/>
    <w:rsid w:val="00C76F94"/>
    <w:rsid w:val="00C770D6"/>
    <w:rsid w:val="00C77704"/>
    <w:rsid w:val="00C80A14"/>
    <w:rsid w:val="00C80F64"/>
    <w:rsid w:val="00C81325"/>
    <w:rsid w:val="00C81850"/>
    <w:rsid w:val="00C82D5B"/>
    <w:rsid w:val="00C84EEB"/>
    <w:rsid w:val="00C86299"/>
    <w:rsid w:val="00C86984"/>
    <w:rsid w:val="00C875B4"/>
    <w:rsid w:val="00C91453"/>
    <w:rsid w:val="00C91803"/>
    <w:rsid w:val="00C91EE1"/>
    <w:rsid w:val="00C92009"/>
    <w:rsid w:val="00C921CC"/>
    <w:rsid w:val="00C92910"/>
    <w:rsid w:val="00C93194"/>
    <w:rsid w:val="00C93E01"/>
    <w:rsid w:val="00C94165"/>
    <w:rsid w:val="00C94BB8"/>
    <w:rsid w:val="00C94DA8"/>
    <w:rsid w:val="00C95E4B"/>
    <w:rsid w:val="00C966C4"/>
    <w:rsid w:val="00C9681F"/>
    <w:rsid w:val="00C97540"/>
    <w:rsid w:val="00CA04DA"/>
    <w:rsid w:val="00CA0672"/>
    <w:rsid w:val="00CA0CC0"/>
    <w:rsid w:val="00CA119B"/>
    <w:rsid w:val="00CA1B21"/>
    <w:rsid w:val="00CA3C1D"/>
    <w:rsid w:val="00CA4314"/>
    <w:rsid w:val="00CA4FB2"/>
    <w:rsid w:val="00CA55C3"/>
    <w:rsid w:val="00CA65CF"/>
    <w:rsid w:val="00CA6C80"/>
    <w:rsid w:val="00CB07C6"/>
    <w:rsid w:val="00CB0DDB"/>
    <w:rsid w:val="00CB1042"/>
    <w:rsid w:val="00CB1249"/>
    <w:rsid w:val="00CB206B"/>
    <w:rsid w:val="00CB2FB2"/>
    <w:rsid w:val="00CB300E"/>
    <w:rsid w:val="00CB4270"/>
    <w:rsid w:val="00CB55AD"/>
    <w:rsid w:val="00CB7AA6"/>
    <w:rsid w:val="00CC0395"/>
    <w:rsid w:val="00CC1E48"/>
    <w:rsid w:val="00CC2FD8"/>
    <w:rsid w:val="00CC39F6"/>
    <w:rsid w:val="00CC4E98"/>
    <w:rsid w:val="00CC57B3"/>
    <w:rsid w:val="00CC5953"/>
    <w:rsid w:val="00CC5964"/>
    <w:rsid w:val="00CC6901"/>
    <w:rsid w:val="00CC6B44"/>
    <w:rsid w:val="00CC7BD1"/>
    <w:rsid w:val="00CD047F"/>
    <w:rsid w:val="00CD09F4"/>
    <w:rsid w:val="00CD111D"/>
    <w:rsid w:val="00CD14D5"/>
    <w:rsid w:val="00CD1C0D"/>
    <w:rsid w:val="00CD3412"/>
    <w:rsid w:val="00CD39B2"/>
    <w:rsid w:val="00CD42E7"/>
    <w:rsid w:val="00CD459C"/>
    <w:rsid w:val="00CD5C8D"/>
    <w:rsid w:val="00CD5DA0"/>
    <w:rsid w:val="00CD5DDB"/>
    <w:rsid w:val="00CD5F0A"/>
    <w:rsid w:val="00CD603E"/>
    <w:rsid w:val="00CD7E04"/>
    <w:rsid w:val="00CE082C"/>
    <w:rsid w:val="00CE246A"/>
    <w:rsid w:val="00CE2555"/>
    <w:rsid w:val="00CE3443"/>
    <w:rsid w:val="00CE4577"/>
    <w:rsid w:val="00CE50EE"/>
    <w:rsid w:val="00CE6C5E"/>
    <w:rsid w:val="00CF16FD"/>
    <w:rsid w:val="00CF20A0"/>
    <w:rsid w:val="00CF30A7"/>
    <w:rsid w:val="00CF3A13"/>
    <w:rsid w:val="00CF4F5E"/>
    <w:rsid w:val="00CF5062"/>
    <w:rsid w:val="00CF6545"/>
    <w:rsid w:val="00CF68C3"/>
    <w:rsid w:val="00CF69AB"/>
    <w:rsid w:val="00CF7D06"/>
    <w:rsid w:val="00D015A3"/>
    <w:rsid w:val="00D01EA7"/>
    <w:rsid w:val="00D024DB"/>
    <w:rsid w:val="00D024DF"/>
    <w:rsid w:val="00D033A1"/>
    <w:rsid w:val="00D0344B"/>
    <w:rsid w:val="00D0367C"/>
    <w:rsid w:val="00D040F1"/>
    <w:rsid w:val="00D04323"/>
    <w:rsid w:val="00D04915"/>
    <w:rsid w:val="00D04D42"/>
    <w:rsid w:val="00D04E56"/>
    <w:rsid w:val="00D04EA6"/>
    <w:rsid w:val="00D05A0C"/>
    <w:rsid w:val="00D0628B"/>
    <w:rsid w:val="00D06AF1"/>
    <w:rsid w:val="00D10E86"/>
    <w:rsid w:val="00D119DB"/>
    <w:rsid w:val="00D11D16"/>
    <w:rsid w:val="00D11F65"/>
    <w:rsid w:val="00D120BF"/>
    <w:rsid w:val="00D12EDC"/>
    <w:rsid w:val="00D13FEB"/>
    <w:rsid w:val="00D142D0"/>
    <w:rsid w:val="00D15661"/>
    <w:rsid w:val="00D15ACD"/>
    <w:rsid w:val="00D15B02"/>
    <w:rsid w:val="00D16057"/>
    <w:rsid w:val="00D161B0"/>
    <w:rsid w:val="00D17AFC"/>
    <w:rsid w:val="00D21283"/>
    <w:rsid w:val="00D212F7"/>
    <w:rsid w:val="00D21DAE"/>
    <w:rsid w:val="00D22101"/>
    <w:rsid w:val="00D23C8E"/>
    <w:rsid w:val="00D23FA5"/>
    <w:rsid w:val="00D24927"/>
    <w:rsid w:val="00D32162"/>
    <w:rsid w:val="00D32BDF"/>
    <w:rsid w:val="00D32BE8"/>
    <w:rsid w:val="00D33846"/>
    <w:rsid w:val="00D339CD"/>
    <w:rsid w:val="00D342AB"/>
    <w:rsid w:val="00D350EF"/>
    <w:rsid w:val="00D354DB"/>
    <w:rsid w:val="00D3611F"/>
    <w:rsid w:val="00D369CC"/>
    <w:rsid w:val="00D36FB6"/>
    <w:rsid w:val="00D40F03"/>
    <w:rsid w:val="00D41784"/>
    <w:rsid w:val="00D423B0"/>
    <w:rsid w:val="00D434A1"/>
    <w:rsid w:val="00D43ABB"/>
    <w:rsid w:val="00D44054"/>
    <w:rsid w:val="00D446C0"/>
    <w:rsid w:val="00D46B70"/>
    <w:rsid w:val="00D47D55"/>
    <w:rsid w:val="00D503AB"/>
    <w:rsid w:val="00D5148D"/>
    <w:rsid w:val="00D516F6"/>
    <w:rsid w:val="00D51768"/>
    <w:rsid w:val="00D5267F"/>
    <w:rsid w:val="00D528A6"/>
    <w:rsid w:val="00D5305E"/>
    <w:rsid w:val="00D5334D"/>
    <w:rsid w:val="00D53B17"/>
    <w:rsid w:val="00D5429A"/>
    <w:rsid w:val="00D546DE"/>
    <w:rsid w:val="00D54AD1"/>
    <w:rsid w:val="00D55487"/>
    <w:rsid w:val="00D55767"/>
    <w:rsid w:val="00D55A04"/>
    <w:rsid w:val="00D55B2A"/>
    <w:rsid w:val="00D55F07"/>
    <w:rsid w:val="00D560C7"/>
    <w:rsid w:val="00D56869"/>
    <w:rsid w:val="00D57DF0"/>
    <w:rsid w:val="00D61553"/>
    <w:rsid w:val="00D61F9C"/>
    <w:rsid w:val="00D62054"/>
    <w:rsid w:val="00D62C82"/>
    <w:rsid w:val="00D62FDA"/>
    <w:rsid w:val="00D63592"/>
    <w:rsid w:val="00D654F8"/>
    <w:rsid w:val="00D659C4"/>
    <w:rsid w:val="00D67960"/>
    <w:rsid w:val="00D702FB"/>
    <w:rsid w:val="00D70AF4"/>
    <w:rsid w:val="00D71C78"/>
    <w:rsid w:val="00D71D30"/>
    <w:rsid w:val="00D728A1"/>
    <w:rsid w:val="00D72BB1"/>
    <w:rsid w:val="00D72CD4"/>
    <w:rsid w:val="00D72F30"/>
    <w:rsid w:val="00D7471B"/>
    <w:rsid w:val="00D749C4"/>
    <w:rsid w:val="00D74E21"/>
    <w:rsid w:val="00D75556"/>
    <w:rsid w:val="00D80939"/>
    <w:rsid w:val="00D812D3"/>
    <w:rsid w:val="00D81708"/>
    <w:rsid w:val="00D83ED4"/>
    <w:rsid w:val="00D84EB7"/>
    <w:rsid w:val="00D8563B"/>
    <w:rsid w:val="00D859F5"/>
    <w:rsid w:val="00D85AFA"/>
    <w:rsid w:val="00D85F4B"/>
    <w:rsid w:val="00D87BCD"/>
    <w:rsid w:val="00D9026C"/>
    <w:rsid w:val="00D90A92"/>
    <w:rsid w:val="00D90C4C"/>
    <w:rsid w:val="00D92F04"/>
    <w:rsid w:val="00D935B8"/>
    <w:rsid w:val="00D94042"/>
    <w:rsid w:val="00D9779B"/>
    <w:rsid w:val="00D97AEA"/>
    <w:rsid w:val="00DA0408"/>
    <w:rsid w:val="00DA046C"/>
    <w:rsid w:val="00DA12DB"/>
    <w:rsid w:val="00DA1F71"/>
    <w:rsid w:val="00DA2B68"/>
    <w:rsid w:val="00DA3B0C"/>
    <w:rsid w:val="00DA426B"/>
    <w:rsid w:val="00DA4812"/>
    <w:rsid w:val="00DA509D"/>
    <w:rsid w:val="00DA5394"/>
    <w:rsid w:val="00DB0BAB"/>
    <w:rsid w:val="00DB14BF"/>
    <w:rsid w:val="00DB21C0"/>
    <w:rsid w:val="00DB327F"/>
    <w:rsid w:val="00DB4B00"/>
    <w:rsid w:val="00DB4CCC"/>
    <w:rsid w:val="00DB5F63"/>
    <w:rsid w:val="00DC0328"/>
    <w:rsid w:val="00DC1EBC"/>
    <w:rsid w:val="00DC3046"/>
    <w:rsid w:val="00DC44DC"/>
    <w:rsid w:val="00DC4853"/>
    <w:rsid w:val="00DC4E64"/>
    <w:rsid w:val="00DC5E22"/>
    <w:rsid w:val="00DC65EE"/>
    <w:rsid w:val="00DC6D09"/>
    <w:rsid w:val="00DD0246"/>
    <w:rsid w:val="00DD0BBD"/>
    <w:rsid w:val="00DD0F40"/>
    <w:rsid w:val="00DD122C"/>
    <w:rsid w:val="00DD2CBD"/>
    <w:rsid w:val="00DD2CD6"/>
    <w:rsid w:val="00DD3ABF"/>
    <w:rsid w:val="00DD3EFF"/>
    <w:rsid w:val="00DD5ADA"/>
    <w:rsid w:val="00DD6728"/>
    <w:rsid w:val="00DD6B5B"/>
    <w:rsid w:val="00DD791B"/>
    <w:rsid w:val="00DE0899"/>
    <w:rsid w:val="00DE0B38"/>
    <w:rsid w:val="00DE38B3"/>
    <w:rsid w:val="00DE3F02"/>
    <w:rsid w:val="00DE5215"/>
    <w:rsid w:val="00DE5504"/>
    <w:rsid w:val="00DE57A6"/>
    <w:rsid w:val="00DE5F72"/>
    <w:rsid w:val="00DE624B"/>
    <w:rsid w:val="00DF1467"/>
    <w:rsid w:val="00DF1A84"/>
    <w:rsid w:val="00DF35E5"/>
    <w:rsid w:val="00DF432B"/>
    <w:rsid w:val="00DF5E28"/>
    <w:rsid w:val="00E002C7"/>
    <w:rsid w:val="00E00C16"/>
    <w:rsid w:val="00E01A9D"/>
    <w:rsid w:val="00E039FF"/>
    <w:rsid w:val="00E0430E"/>
    <w:rsid w:val="00E05DD2"/>
    <w:rsid w:val="00E05FFF"/>
    <w:rsid w:val="00E06373"/>
    <w:rsid w:val="00E071F9"/>
    <w:rsid w:val="00E10058"/>
    <w:rsid w:val="00E13C52"/>
    <w:rsid w:val="00E1480A"/>
    <w:rsid w:val="00E150FE"/>
    <w:rsid w:val="00E15DCD"/>
    <w:rsid w:val="00E1600D"/>
    <w:rsid w:val="00E17CD6"/>
    <w:rsid w:val="00E20435"/>
    <w:rsid w:val="00E20BEE"/>
    <w:rsid w:val="00E20CF0"/>
    <w:rsid w:val="00E2403C"/>
    <w:rsid w:val="00E2484A"/>
    <w:rsid w:val="00E266A8"/>
    <w:rsid w:val="00E269F7"/>
    <w:rsid w:val="00E27154"/>
    <w:rsid w:val="00E2726E"/>
    <w:rsid w:val="00E302E9"/>
    <w:rsid w:val="00E30C76"/>
    <w:rsid w:val="00E31891"/>
    <w:rsid w:val="00E326C8"/>
    <w:rsid w:val="00E32A58"/>
    <w:rsid w:val="00E32CDF"/>
    <w:rsid w:val="00E339D0"/>
    <w:rsid w:val="00E34F9D"/>
    <w:rsid w:val="00E35135"/>
    <w:rsid w:val="00E353D9"/>
    <w:rsid w:val="00E35B94"/>
    <w:rsid w:val="00E35DF0"/>
    <w:rsid w:val="00E366E4"/>
    <w:rsid w:val="00E37965"/>
    <w:rsid w:val="00E40B86"/>
    <w:rsid w:val="00E4181D"/>
    <w:rsid w:val="00E418A6"/>
    <w:rsid w:val="00E450B5"/>
    <w:rsid w:val="00E45FF5"/>
    <w:rsid w:val="00E47DF6"/>
    <w:rsid w:val="00E504E5"/>
    <w:rsid w:val="00E5067B"/>
    <w:rsid w:val="00E51973"/>
    <w:rsid w:val="00E521E9"/>
    <w:rsid w:val="00E52E2B"/>
    <w:rsid w:val="00E538AF"/>
    <w:rsid w:val="00E56816"/>
    <w:rsid w:val="00E57AD4"/>
    <w:rsid w:val="00E57B81"/>
    <w:rsid w:val="00E6016D"/>
    <w:rsid w:val="00E603EC"/>
    <w:rsid w:val="00E616D7"/>
    <w:rsid w:val="00E61F78"/>
    <w:rsid w:val="00E61FFE"/>
    <w:rsid w:val="00E6272E"/>
    <w:rsid w:val="00E639A7"/>
    <w:rsid w:val="00E6422B"/>
    <w:rsid w:val="00E65894"/>
    <w:rsid w:val="00E663E1"/>
    <w:rsid w:val="00E6703E"/>
    <w:rsid w:val="00E67E8D"/>
    <w:rsid w:val="00E712DC"/>
    <w:rsid w:val="00E714D4"/>
    <w:rsid w:val="00E71D99"/>
    <w:rsid w:val="00E723B2"/>
    <w:rsid w:val="00E7292D"/>
    <w:rsid w:val="00E72A0A"/>
    <w:rsid w:val="00E72BA3"/>
    <w:rsid w:val="00E75A79"/>
    <w:rsid w:val="00E76D78"/>
    <w:rsid w:val="00E778DC"/>
    <w:rsid w:val="00E7798A"/>
    <w:rsid w:val="00E81AF3"/>
    <w:rsid w:val="00E81B13"/>
    <w:rsid w:val="00E8301C"/>
    <w:rsid w:val="00E83039"/>
    <w:rsid w:val="00E83F77"/>
    <w:rsid w:val="00E8499D"/>
    <w:rsid w:val="00E84B70"/>
    <w:rsid w:val="00E84C97"/>
    <w:rsid w:val="00E84EF7"/>
    <w:rsid w:val="00E86CAB"/>
    <w:rsid w:val="00E87B40"/>
    <w:rsid w:val="00E87E08"/>
    <w:rsid w:val="00E87E5E"/>
    <w:rsid w:val="00E9055C"/>
    <w:rsid w:val="00E90F73"/>
    <w:rsid w:val="00E91792"/>
    <w:rsid w:val="00E91CEE"/>
    <w:rsid w:val="00E92F97"/>
    <w:rsid w:val="00E93165"/>
    <w:rsid w:val="00E931AE"/>
    <w:rsid w:val="00E9341B"/>
    <w:rsid w:val="00E940AA"/>
    <w:rsid w:val="00E944E7"/>
    <w:rsid w:val="00E955EF"/>
    <w:rsid w:val="00E976DD"/>
    <w:rsid w:val="00E97ACB"/>
    <w:rsid w:val="00EA04B6"/>
    <w:rsid w:val="00EA17C9"/>
    <w:rsid w:val="00EA1AED"/>
    <w:rsid w:val="00EA1DFA"/>
    <w:rsid w:val="00EA20E6"/>
    <w:rsid w:val="00EA3376"/>
    <w:rsid w:val="00EA3AA1"/>
    <w:rsid w:val="00EA4CF7"/>
    <w:rsid w:val="00EA586A"/>
    <w:rsid w:val="00EA5D11"/>
    <w:rsid w:val="00EA60EF"/>
    <w:rsid w:val="00EA6AC3"/>
    <w:rsid w:val="00EA7D2B"/>
    <w:rsid w:val="00EA7FD7"/>
    <w:rsid w:val="00EB14FB"/>
    <w:rsid w:val="00EB1621"/>
    <w:rsid w:val="00EB1AE7"/>
    <w:rsid w:val="00EB2CC8"/>
    <w:rsid w:val="00EB3434"/>
    <w:rsid w:val="00EB3836"/>
    <w:rsid w:val="00EB4DCE"/>
    <w:rsid w:val="00EB4F08"/>
    <w:rsid w:val="00EB5562"/>
    <w:rsid w:val="00EB5651"/>
    <w:rsid w:val="00EB7954"/>
    <w:rsid w:val="00EB7E39"/>
    <w:rsid w:val="00EC0857"/>
    <w:rsid w:val="00EC2E08"/>
    <w:rsid w:val="00EC2E9F"/>
    <w:rsid w:val="00EC2F09"/>
    <w:rsid w:val="00EC2F92"/>
    <w:rsid w:val="00EC5A5D"/>
    <w:rsid w:val="00EC5DAD"/>
    <w:rsid w:val="00EC70D8"/>
    <w:rsid w:val="00EC7334"/>
    <w:rsid w:val="00EC7D9C"/>
    <w:rsid w:val="00ED239C"/>
    <w:rsid w:val="00ED2A63"/>
    <w:rsid w:val="00ED2EA9"/>
    <w:rsid w:val="00ED3453"/>
    <w:rsid w:val="00ED555D"/>
    <w:rsid w:val="00ED5B9A"/>
    <w:rsid w:val="00ED5C7A"/>
    <w:rsid w:val="00EE05F1"/>
    <w:rsid w:val="00EE0687"/>
    <w:rsid w:val="00EE0A69"/>
    <w:rsid w:val="00EE13C0"/>
    <w:rsid w:val="00EE1B3C"/>
    <w:rsid w:val="00EE3254"/>
    <w:rsid w:val="00EE38A7"/>
    <w:rsid w:val="00EE3A11"/>
    <w:rsid w:val="00EE5EF9"/>
    <w:rsid w:val="00EE616E"/>
    <w:rsid w:val="00EE6541"/>
    <w:rsid w:val="00EE666D"/>
    <w:rsid w:val="00EE7FC1"/>
    <w:rsid w:val="00EF2AE6"/>
    <w:rsid w:val="00EF30B1"/>
    <w:rsid w:val="00EF3170"/>
    <w:rsid w:val="00EF4544"/>
    <w:rsid w:val="00EF53DF"/>
    <w:rsid w:val="00EF5B67"/>
    <w:rsid w:val="00EF7306"/>
    <w:rsid w:val="00EF7540"/>
    <w:rsid w:val="00F00765"/>
    <w:rsid w:val="00F00C15"/>
    <w:rsid w:val="00F01689"/>
    <w:rsid w:val="00F01B1E"/>
    <w:rsid w:val="00F020FC"/>
    <w:rsid w:val="00F026B4"/>
    <w:rsid w:val="00F030B9"/>
    <w:rsid w:val="00F03A2B"/>
    <w:rsid w:val="00F03DE3"/>
    <w:rsid w:val="00F03DF8"/>
    <w:rsid w:val="00F04BC8"/>
    <w:rsid w:val="00F04EB3"/>
    <w:rsid w:val="00F05AD2"/>
    <w:rsid w:val="00F05ADE"/>
    <w:rsid w:val="00F05EF3"/>
    <w:rsid w:val="00F06805"/>
    <w:rsid w:val="00F12212"/>
    <w:rsid w:val="00F130CD"/>
    <w:rsid w:val="00F13416"/>
    <w:rsid w:val="00F13F3A"/>
    <w:rsid w:val="00F15CE1"/>
    <w:rsid w:val="00F16247"/>
    <w:rsid w:val="00F16D8C"/>
    <w:rsid w:val="00F170D5"/>
    <w:rsid w:val="00F24B7C"/>
    <w:rsid w:val="00F251BC"/>
    <w:rsid w:val="00F25272"/>
    <w:rsid w:val="00F2606C"/>
    <w:rsid w:val="00F266D7"/>
    <w:rsid w:val="00F26777"/>
    <w:rsid w:val="00F274A9"/>
    <w:rsid w:val="00F305EF"/>
    <w:rsid w:val="00F31019"/>
    <w:rsid w:val="00F31C35"/>
    <w:rsid w:val="00F3230F"/>
    <w:rsid w:val="00F331E3"/>
    <w:rsid w:val="00F334D5"/>
    <w:rsid w:val="00F35F77"/>
    <w:rsid w:val="00F401B6"/>
    <w:rsid w:val="00F40388"/>
    <w:rsid w:val="00F40A7E"/>
    <w:rsid w:val="00F40F40"/>
    <w:rsid w:val="00F411DB"/>
    <w:rsid w:val="00F44015"/>
    <w:rsid w:val="00F4440F"/>
    <w:rsid w:val="00F44520"/>
    <w:rsid w:val="00F44FE4"/>
    <w:rsid w:val="00F4544B"/>
    <w:rsid w:val="00F45C1A"/>
    <w:rsid w:val="00F5071F"/>
    <w:rsid w:val="00F516F5"/>
    <w:rsid w:val="00F529B2"/>
    <w:rsid w:val="00F52DC0"/>
    <w:rsid w:val="00F52EA6"/>
    <w:rsid w:val="00F5526B"/>
    <w:rsid w:val="00F56761"/>
    <w:rsid w:val="00F57633"/>
    <w:rsid w:val="00F57C0B"/>
    <w:rsid w:val="00F6009A"/>
    <w:rsid w:val="00F600BE"/>
    <w:rsid w:val="00F60141"/>
    <w:rsid w:val="00F6028C"/>
    <w:rsid w:val="00F62AB8"/>
    <w:rsid w:val="00F637FD"/>
    <w:rsid w:val="00F63BBE"/>
    <w:rsid w:val="00F63FBA"/>
    <w:rsid w:val="00F64332"/>
    <w:rsid w:val="00F6458D"/>
    <w:rsid w:val="00F64BBC"/>
    <w:rsid w:val="00F65CAD"/>
    <w:rsid w:val="00F66973"/>
    <w:rsid w:val="00F66A1C"/>
    <w:rsid w:val="00F66EF5"/>
    <w:rsid w:val="00F707C2"/>
    <w:rsid w:val="00F70B4C"/>
    <w:rsid w:val="00F724C9"/>
    <w:rsid w:val="00F72A4D"/>
    <w:rsid w:val="00F73C4C"/>
    <w:rsid w:val="00F73E38"/>
    <w:rsid w:val="00F76189"/>
    <w:rsid w:val="00F80DC6"/>
    <w:rsid w:val="00F81950"/>
    <w:rsid w:val="00F81BAF"/>
    <w:rsid w:val="00F834CD"/>
    <w:rsid w:val="00F83CB6"/>
    <w:rsid w:val="00F84B9E"/>
    <w:rsid w:val="00F85C3A"/>
    <w:rsid w:val="00F85CDC"/>
    <w:rsid w:val="00F85E1B"/>
    <w:rsid w:val="00F878BD"/>
    <w:rsid w:val="00F87DCC"/>
    <w:rsid w:val="00F9042C"/>
    <w:rsid w:val="00F90BC4"/>
    <w:rsid w:val="00F90D37"/>
    <w:rsid w:val="00F92C8C"/>
    <w:rsid w:val="00F9304F"/>
    <w:rsid w:val="00F9306A"/>
    <w:rsid w:val="00F94B2D"/>
    <w:rsid w:val="00F94E55"/>
    <w:rsid w:val="00F96407"/>
    <w:rsid w:val="00F96951"/>
    <w:rsid w:val="00FA0C37"/>
    <w:rsid w:val="00FA11FC"/>
    <w:rsid w:val="00FA2CD5"/>
    <w:rsid w:val="00FA52AB"/>
    <w:rsid w:val="00FA61FD"/>
    <w:rsid w:val="00FB0398"/>
    <w:rsid w:val="00FB07F5"/>
    <w:rsid w:val="00FB08D8"/>
    <w:rsid w:val="00FB0C2E"/>
    <w:rsid w:val="00FB0E93"/>
    <w:rsid w:val="00FB0F93"/>
    <w:rsid w:val="00FB1ABC"/>
    <w:rsid w:val="00FB35E6"/>
    <w:rsid w:val="00FB3740"/>
    <w:rsid w:val="00FB3C18"/>
    <w:rsid w:val="00FB48F6"/>
    <w:rsid w:val="00FB697C"/>
    <w:rsid w:val="00FB6D4D"/>
    <w:rsid w:val="00FB7158"/>
    <w:rsid w:val="00FC0E08"/>
    <w:rsid w:val="00FC1C14"/>
    <w:rsid w:val="00FC2095"/>
    <w:rsid w:val="00FC3FB7"/>
    <w:rsid w:val="00FC3FEF"/>
    <w:rsid w:val="00FC4494"/>
    <w:rsid w:val="00FC5CF0"/>
    <w:rsid w:val="00FC6B6F"/>
    <w:rsid w:val="00FC6C03"/>
    <w:rsid w:val="00FC7692"/>
    <w:rsid w:val="00FD087C"/>
    <w:rsid w:val="00FD0FF2"/>
    <w:rsid w:val="00FD150A"/>
    <w:rsid w:val="00FD19DA"/>
    <w:rsid w:val="00FD3449"/>
    <w:rsid w:val="00FD35E1"/>
    <w:rsid w:val="00FD3C12"/>
    <w:rsid w:val="00FD4C5F"/>
    <w:rsid w:val="00FD6A8D"/>
    <w:rsid w:val="00FD6B2B"/>
    <w:rsid w:val="00FD6F3C"/>
    <w:rsid w:val="00FE0F99"/>
    <w:rsid w:val="00FE2E27"/>
    <w:rsid w:val="00FE2E48"/>
    <w:rsid w:val="00FE2F7A"/>
    <w:rsid w:val="00FE46B1"/>
    <w:rsid w:val="00FE5AE6"/>
    <w:rsid w:val="00FE6C71"/>
    <w:rsid w:val="00FE7FC9"/>
    <w:rsid w:val="00FF1F18"/>
    <w:rsid w:val="00FF1FDE"/>
    <w:rsid w:val="00FF22E0"/>
    <w:rsid w:val="00FF350B"/>
    <w:rsid w:val="00FF3DA5"/>
    <w:rsid w:val="00FF4274"/>
    <w:rsid w:val="00FF5269"/>
    <w:rsid w:val="00FF564F"/>
    <w:rsid w:val="00FF569E"/>
    <w:rsid w:val="00FF6622"/>
    <w:rsid w:val="00FF6E9F"/>
    <w:rsid w:val="00FF7206"/>
    <w:rsid w:val="00FF73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6c"/>
    </o:shapedefaults>
    <o:shapelayout v:ext="edit">
      <o:idmap v:ext="edit" data="2"/>
    </o:shapelayout>
  </w:shapeDefaults>
  <w:decimalSymbol w:val="."/>
  <w:listSeparator w:val=";"/>
  <w14:docId w14:val="0BCBA4EB"/>
  <w15:docId w15:val="{F15CDBF1-7739-4A52-AA63-1411E756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Calibri" w:hAnsi="Tahoma"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4306F"/>
    <w:pPr>
      <w:spacing w:after="200" w:line="276" w:lineRule="auto"/>
    </w:pPr>
    <w:rPr>
      <w:sz w:val="18"/>
      <w:szCs w:val="22"/>
    </w:rPr>
  </w:style>
  <w:style w:type="paragraph" w:styleId="Virsraksts1">
    <w:name w:val="heading 1"/>
    <w:basedOn w:val="Parasts"/>
    <w:next w:val="Parasts"/>
    <w:link w:val="Virsraksts1Rakstz"/>
    <w:uiPriority w:val="9"/>
    <w:qFormat/>
    <w:rsid w:val="00887DB2"/>
    <w:pPr>
      <w:keepNext/>
      <w:spacing w:before="240" w:after="60"/>
      <w:outlineLvl w:val="0"/>
    </w:pPr>
    <w:rPr>
      <w:rFonts w:ascii="Cambria" w:eastAsia="Times New Roman" w:hAnsi="Cambria"/>
      <w:b/>
      <w:bCs/>
      <w:kern w:val="32"/>
      <w:sz w:val="32"/>
      <w:szCs w:val="32"/>
    </w:rPr>
  </w:style>
  <w:style w:type="paragraph" w:styleId="Virsraksts2">
    <w:name w:val="heading 2"/>
    <w:basedOn w:val="Parasts"/>
    <w:next w:val="Parasts"/>
    <w:link w:val="Virsraksts2Rakstz"/>
    <w:uiPriority w:val="9"/>
    <w:unhideWhenUsed/>
    <w:qFormat/>
    <w:rsid w:val="00887DB2"/>
    <w:pPr>
      <w:keepNext/>
      <w:spacing w:before="240" w:after="60"/>
      <w:outlineLvl w:val="1"/>
    </w:pPr>
    <w:rPr>
      <w:rFonts w:ascii="Cambria" w:hAnsi="Cambria"/>
      <w:b/>
      <w:bCs/>
      <w:i/>
      <w:iCs/>
      <w:sz w:val="28"/>
      <w:szCs w:val="28"/>
    </w:rPr>
  </w:style>
  <w:style w:type="paragraph" w:styleId="Virsraksts3">
    <w:name w:val="heading 3"/>
    <w:basedOn w:val="Parasts"/>
    <w:next w:val="Parasts"/>
    <w:link w:val="Virsraksts3Rakstz"/>
    <w:uiPriority w:val="9"/>
    <w:unhideWhenUsed/>
    <w:qFormat/>
    <w:rsid w:val="00C93E01"/>
    <w:pPr>
      <w:keepNext/>
      <w:spacing w:before="240" w:after="60"/>
      <w:outlineLvl w:val="2"/>
    </w:pPr>
    <w:rPr>
      <w:rFonts w:ascii="Cambria" w:eastAsia="Times New Roman" w:hAnsi="Cambria"/>
      <w:b/>
      <w:bCs/>
      <w:sz w:val="26"/>
      <w:szCs w:val="26"/>
    </w:rPr>
  </w:style>
  <w:style w:type="paragraph" w:styleId="Virsraksts5">
    <w:name w:val="heading 5"/>
    <w:basedOn w:val="Parasts"/>
    <w:next w:val="Parasts"/>
    <w:link w:val="Virsraksts5Rakstz"/>
    <w:qFormat/>
    <w:rsid w:val="0064306F"/>
    <w:pPr>
      <w:keepNext/>
      <w:spacing w:after="0" w:line="240" w:lineRule="auto"/>
      <w:jc w:val="right"/>
      <w:outlineLvl w:val="4"/>
    </w:pPr>
    <w:rPr>
      <w:rFonts w:ascii="Arial Narrow" w:hAnsi="Arial Narrow"/>
      <w:b/>
      <w:bCs/>
      <w:sz w:val="26"/>
      <w:szCs w:val="20"/>
      <w:lang w:eastAsia="en-US"/>
    </w:rPr>
  </w:style>
  <w:style w:type="paragraph" w:styleId="Virsraksts6">
    <w:name w:val="heading 6"/>
    <w:basedOn w:val="Parasts"/>
    <w:next w:val="Parasts"/>
    <w:link w:val="Virsraksts6Rakstz"/>
    <w:qFormat/>
    <w:rsid w:val="00B05609"/>
    <w:pPr>
      <w:keepNext/>
      <w:widowControl w:val="0"/>
      <w:autoSpaceDE w:val="0"/>
      <w:autoSpaceDN w:val="0"/>
      <w:adjustRightInd w:val="0"/>
      <w:spacing w:before="20" w:after="20" w:line="240" w:lineRule="auto"/>
      <w:outlineLvl w:val="5"/>
    </w:pPr>
    <w:rPr>
      <w:rFonts w:ascii="Times New Roman" w:eastAsia="Times New Roman" w:hAnsi="Times New Roman" w:cs="Mangal"/>
      <w:b/>
      <w:bCs/>
      <w:color w:val="000000"/>
      <w:spacing w:val="-9"/>
      <w:sz w:val="23"/>
      <w:szCs w:val="23"/>
      <w:lang w:eastAsia="en-US" w:bidi="sa-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64306F"/>
    <w:pPr>
      <w:tabs>
        <w:tab w:val="center" w:pos="4513"/>
        <w:tab w:val="right" w:pos="9026"/>
      </w:tabs>
    </w:pPr>
  </w:style>
  <w:style w:type="character" w:customStyle="1" w:styleId="GalveneRakstz">
    <w:name w:val="Galvene Rakstz."/>
    <w:link w:val="Galvene"/>
    <w:uiPriority w:val="99"/>
    <w:rsid w:val="0064306F"/>
    <w:rPr>
      <w:sz w:val="22"/>
    </w:rPr>
  </w:style>
  <w:style w:type="paragraph" w:styleId="Kjene">
    <w:name w:val="footer"/>
    <w:basedOn w:val="Parasts"/>
    <w:link w:val="KjeneRakstz"/>
    <w:uiPriority w:val="99"/>
    <w:unhideWhenUsed/>
    <w:rsid w:val="0064306F"/>
    <w:pPr>
      <w:tabs>
        <w:tab w:val="center" w:pos="4513"/>
        <w:tab w:val="right" w:pos="9026"/>
      </w:tabs>
    </w:pPr>
  </w:style>
  <w:style w:type="character" w:customStyle="1" w:styleId="KjeneRakstz">
    <w:name w:val="Kājene Rakstz."/>
    <w:link w:val="Kjene"/>
    <w:uiPriority w:val="99"/>
    <w:rsid w:val="0064306F"/>
    <w:rPr>
      <w:sz w:val="22"/>
    </w:rPr>
  </w:style>
  <w:style w:type="paragraph" w:styleId="Balonteksts">
    <w:name w:val="Balloon Text"/>
    <w:basedOn w:val="Parasts"/>
    <w:link w:val="BalontekstsRakstz"/>
    <w:uiPriority w:val="99"/>
    <w:semiHidden/>
    <w:unhideWhenUsed/>
    <w:rsid w:val="0064306F"/>
    <w:rPr>
      <w:rFonts w:cs="Tahoma"/>
      <w:sz w:val="16"/>
      <w:szCs w:val="16"/>
    </w:rPr>
  </w:style>
  <w:style w:type="character" w:customStyle="1" w:styleId="BalontekstsRakstz">
    <w:name w:val="Balonteksts Rakstz."/>
    <w:link w:val="Balonteksts"/>
    <w:uiPriority w:val="99"/>
    <w:semiHidden/>
    <w:rsid w:val="0064306F"/>
    <w:rPr>
      <w:rFonts w:cs="Tahoma"/>
      <w:sz w:val="16"/>
      <w:szCs w:val="16"/>
    </w:rPr>
  </w:style>
  <w:style w:type="character" w:customStyle="1" w:styleId="Virsraksts5Rakstz">
    <w:name w:val="Virsraksts 5 Rakstz."/>
    <w:link w:val="Virsraksts5"/>
    <w:rsid w:val="0064306F"/>
    <w:rPr>
      <w:rFonts w:ascii="Arial Narrow" w:eastAsia="Times New Roman" w:hAnsi="Arial Narrow"/>
      <w:b/>
      <w:bCs/>
      <w:sz w:val="26"/>
      <w:lang w:eastAsia="en-US"/>
    </w:rPr>
  </w:style>
  <w:style w:type="character" w:customStyle="1" w:styleId="Virsraksts1Rakstz">
    <w:name w:val="Virsraksts 1 Rakstz."/>
    <w:link w:val="Virsraksts1"/>
    <w:uiPriority w:val="9"/>
    <w:rsid w:val="00887DB2"/>
    <w:rPr>
      <w:rFonts w:ascii="Cambria" w:eastAsia="Times New Roman" w:hAnsi="Cambria" w:cs="Times New Roman"/>
      <w:b/>
      <w:bCs/>
      <w:kern w:val="32"/>
      <w:sz w:val="32"/>
      <w:szCs w:val="32"/>
    </w:rPr>
  </w:style>
  <w:style w:type="character" w:customStyle="1" w:styleId="Virsraksts2Rakstz">
    <w:name w:val="Virsraksts 2 Rakstz."/>
    <w:link w:val="Virsraksts2"/>
    <w:uiPriority w:val="9"/>
    <w:rsid w:val="00887DB2"/>
    <w:rPr>
      <w:rFonts w:ascii="Cambria" w:eastAsia="Times New Roman" w:hAnsi="Cambria"/>
      <w:b/>
      <w:bCs/>
      <w:i/>
      <w:iCs/>
      <w:sz w:val="28"/>
      <w:szCs w:val="28"/>
    </w:rPr>
  </w:style>
  <w:style w:type="character" w:customStyle="1" w:styleId="Virsraksts3Rakstz">
    <w:name w:val="Virsraksts 3 Rakstz."/>
    <w:link w:val="Virsraksts3"/>
    <w:uiPriority w:val="9"/>
    <w:rsid w:val="00C93E01"/>
    <w:rPr>
      <w:rFonts w:ascii="Cambria" w:eastAsia="Times New Roman" w:hAnsi="Cambria" w:cs="Times New Roman"/>
      <w:b/>
      <w:bCs/>
      <w:sz w:val="26"/>
      <w:szCs w:val="26"/>
    </w:rPr>
  </w:style>
  <w:style w:type="table" w:styleId="Reatabula">
    <w:name w:val="Table Grid"/>
    <w:basedOn w:val="Parastatabula"/>
    <w:uiPriority w:val="59"/>
    <w:rsid w:val="00F51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DC6D09"/>
    <w:pPr>
      <w:spacing w:before="100" w:beforeAutospacing="1" w:after="100" w:afterAutospacing="1" w:line="240" w:lineRule="auto"/>
    </w:pPr>
    <w:rPr>
      <w:rFonts w:ascii="Times New Roman" w:hAnsi="Times New Roman"/>
      <w:sz w:val="24"/>
      <w:szCs w:val="24"/>
    </w:rPr>
  </w:style>
  <w:style w:type="character" w:styleId="Izteiksmgs">
    <w:name w:val="Strong"/>
    <w:uiPriority w:val="22"/>
    <w:qFormat/>
    <w:rsid w:val="00DC6D09"/>
    <w:rPr>
      <w:b/>
      <w:bCs/>
    </w:rPr>
  </w:style>
  <w:style w:type="character" w:customStyle="1" w:styleId="apple-converted-space">
    <w:name w:val="apple-converted-space"/>
    <w:rsid w:val="00DC6D09"/>
  </w:style>
  <w:style w:type="paragraph" w:styleId="Saturardtjavirsraksts">
    <w:name w:val="TOC Heading"/>
    <w:basedOn w:val="Virsraksts1"/>
    <w:next w:val="Parasts"/>
    <w:uiPriority w:val="39"/>
    <w:semiHidden/>
    <w:unhideWhenUsed/>
    <w:qFormat/>
    <w:rsid w:val="00204CAD"/>
    <w:pPr>
      <w:keepLines/>
      <w:spacing w:before="480" w:after="0"/>
      <w:outlineLvl w:val="9"/>
    </w:pPr>
    <w:rPr>
      <w:rFonts w:eastAsia="MS Gothic"/>
      <w:color w:val="365F91"/>
      <w:kern w:val="0"/>
      <w:sz w:val="28"/>
      <w:szCs w:val="28"/>
      <w:lang w:val="en-US" w:eastAsia="ja-JP"/>
    </w:rPr>
  </w:style>
  <w:style w:type="paragraph" w:styleId="Saturs1">
    <w:name w:val="toc 1"/>
    <w:basedOn w:val="Parasts"/>
    <w:next w:val="Parasts"/>
    <w:autoRedefine/>
    <w:uiPriority w:val="39"/>
    <w:unhideWhenUsed/>
    <w:rsid w:val="003C11AF"/>
    <w:pPr>
      <w:tabs>
        <w:tab w:val="left" w:pos="284"/>
        <w:tab w:val="right" w:leader="dot" w:pos="9016"/>
      </w:tabs>
      <w:spacing w:after="0" w:line="240" w:lineRule="auto"/>
      <w:jc w:val="both"/>
    </w:pPr>
  </w:style>
  <w:style w:type="paragraph" w:styleId="Saturs3">
    <w:name w:val="toc 3"/>
    <w:basedOn w:val="Parasts"/>
    <w:next w:val="Parasts"/>
    <w:autoRedefine/>
    <w:uiPriority w:val="39"/>
    <w:unhideWhenUsed/>
    <w:rsid w:val="004446B2"/>
    <w:pPr>
      <w:tabs>
        <w:tab w:val="left" w:pos="709"/>
        <w:tab w:val="right" w:leader="dot" w:pos="9016"/>
      </w:tabs>
      <w:spacing w:after="0" w:line="240" w:lineRule="auto"/>
      <w:ind w:left="284"/>
    </w:pPr>
  </w:style>
  <w:style w:type="character" w:styleId="Hipersaite">
    <w:name w:val="Hyperlink"/>
    <w:uiPriority w:val="99"/>
    <w:unhideWhenUsed/>
    <w:rsid w:val="00204CAD"/>
    <w:rPr>
      <w:color w:val="0000FF"/>
      <w:u w:val="single"/>
    </w:rPr>
  </w:style>
  <w:style w:type="paragraph" w:styleId="Saraksts">
    <w:name w:val="List"/>
    <w:basedOn w:val="Parasts"/>
    <w:rsid w:val="00A70D1C"/>
    <w:pPr>
      <w:spacing w:after="0" w:line="240" w:lineRule="auto"/>
      <w:ind w:left="360" w:hanging="360"/>
      <w:jc w:val="both"/>
    </w:pPr>
    <w:rPr>
      <w:rFonts w:ascii="Arial" w:hAnsi="Arial"/>
      <w:szCs w:val="20"/>
      <w:lang w:eastAsia="en-US"/>
    </w:rPr>
  </w:style>
  <w:style w:type="character" w:styleId="Izclums">
    <w:name w:val="Emphasis"/>
    <w:uiPriority w:val="20"/>
    <w:qFormat/>
    <w:rsid w:val="00300125"/>
    <w:rPr>
      <w:i/>
      <w:iCs/>
    </w:rPr>
  </w:style>
  <w:style w:type="paragraph" w:styleId="Pamatteksts2">
    <w:name w:val="Body Text 2"/>
    <w:basedOn w:val="Parasts"/>
    <w:link w:val="Pamatteksts2Rakstz"/>
    <w:rsid w:val="00F81950"/>
    <w:pPr>
      <w:spacing w:after="0" w:line="240" w:lineRule="auto"/>
    </w:pPr>
    <w:rPr>
      <w:rFonts w:ascii="Arial" w:hAnsi="Arial"/>
      <w:szCs w:val="20"/>
      <w:lang w:eastAsia="en-US"/>
    </w:rPr>
  </w:style>
  <w:style w:type="character" w:customStyle="1" w:styleId="Pamatteksts2Rakstz">
    <w:name w:val="Pamatteksts 2 Rakstz."/>
    <w:link w:val="Pamatteksts2"/>
    <w:rsid w:val="00F81950"/>
    <w:rPr>
      <w:rFonts w:ascii="Arial" w:eastAsia="Times New Roman" w:hAnsi="Arial"/>
      <w:sz w:val="18"/>
      <w:lang w:eastAsia="en-US"/>
    </w:rPr>
  </w:style>
  <w:style w:type="paragraph" w:customStyle="1" w:styleId="TableText">
    <w:name w:val="Table Text"/>
    <w:basedOn w:val="Parasts"/>
    <w:rsid w:val="00DF35E5"/>
    <w:pPr>
      <w:spacing w:after="0" w:line="240" w:lineRule="auto"/>
    </w:pPr>
    <w:rPr>
      <w:rFonts w:ascii="CG Times" w:hAnsi="CG Times"/>
      <w:noProof/>
      <w:sz w:val="20"/>
      <w:szCs w:val="20"/>
      <w:lang w:val="en-GB" w:eastAsia="en-US"/>
      <w14:shadow w14:blurRad="50800" w14:dist="38100" w14:dir="2700000" w14:sx="100000" w14:sy="100000" w14:kx="0" w14:ky="0" w14:algn="tl">
        <w14:srgbClr w14:val="000000">
          <w14:alpha w14:val="60000"/>
        </w14:srgbClr>
      </w14:shadow>
    </w:rPr>
  </w:style>
  <w:style w:type="paragraph" w:customStyle="1" w:styleId="Default">
    <w:name w:val="Default"/>
    <w:rsid w:val="00C578BA"/>
    <w:pPr>
      <w:autoSpaceDE w:val="0"/>
      <w:autoSpaceDN w:val="0"/>
      <w:adjustRightInd w:val="0"/>
    </w:pPr>
    <w:rPr>
      <w:rFonts w:ascii="Arial" w:hAnsi="Arial" w:cs="Arial"/>
      <w:color w:val="000000"/>
      <w:sz w:val="24"/>
      <w:szCs w:val="24"/>
    </w:rPr>
  </w:style>
  <w:style w:type="paragraph" w:styleId="Sarakstarindkopa">
    <w:name w:val="List Paragraph"/>
    <w:basedOn w:val="Parasts"/>
    <w:uiPriority w:val="34"/>
    <w:qFormat/>
    <w:rsid w:val="009659EE"/>
    <w:pPr>
      <w:spacing w:after="0" w:line="240" w:lineRule="auto"/>
      <w:ind w:left="720"/>
    </w:pPr>
    <w:rPr>
      <w:lang w:eastAsia="en-US"/>
    </w:rPr>
  </w:style>
  <w:style w:type="paragraph" w:customStyle="1" w:styleId="1text">
    <w:name w:val="1_text"/>
    <w:basedOn w:val="Parasts"/>
    <w:rsid w:val="00B06163"/>
    <w:pPr>
      <w:spacing w:before="80" w:after="0" w:line="240" w:lineRule="auto"/>
      <w:jc w:val="both"/>
    </w:pPr>
    <w:rPr>
      <w:rFonts w:ascii="Arial Narrow" w:hAnsi="Arial Narrow"/>
      <w:sz w:val="20"/>
      <w:szCs w:val="24"/>
      <w:lang w:val="en-GB" w:eastAsia="en-US"/>
    </w:rPr>
  </w:style>
  <w:style w:type="paragraph" w:styleId="Parakstszemobjekta">
    <w:name w:val="caption"/>
    <w:basedOn w:val="Parasts"/>
    <w:next w:val="Parasts"/>
    <w:qFormat/>
    <w:rsid w:val="00F4544B"/>
    <w:pPr>
      <w:spacing w:before="200" w:after="0" w:line="240" w:lineRule="auto"/>
    </w:pPr>
    <w:rPr>
      <w:rFonts w:ascii="Arial" w:hAnsi="Arial"/>
      <w:b/>
      <w:sz w:val="20"/>
      <w:szCs w:val="20"/>
      <w:lang w:eastAsia="en-US"/>
    </w:rPr>
  </w:style>
  <w:style w:type="character" w:styleId="Izmantotahipersaite">
    <w:name w:val="FollowedHyperlink"/>
    <w:uiPriority w:val="99"/>
    <w:semiHidden/>
    <w:unhideWhenUsed/>
    <w:rsid w:val="00185B6E"/>
    <w:rPr>
      <w:color w:val="800080"/>
      <w:u w:val="single"/>
    </w:rPr>
  </w:style>
  <w:style w:type="paragraph" w:styleId="Bezatstarpm">
    <w:name w:val="No Spacing"/>
    <w:uiPriority w:val="1"/>
    <w:qFormat/>
    <w:rsid w:val="00DE0B38"/>
    <w:rPr>
      <w:rFonts w:ascii="Calibri" w:eastAsia="Times New Roman" w:hAnsi="Calibri"/>
      <w:sz w:val="22"/>
      <w:szCs w:val="22"/>
    </w:rPr>
  </w:style>
  <w:style w:type="character" w:customStyle="1" w:styleId="Virsraksts6Rakstz">
    <w:name w:val="Virsraksts 6 Rakstz."/>
    <w:basedOn w:val="Noklusjumarindkopasfonts"/>
    <w:link w:val="Virsraksts6"/>
    <w:rsid w:val="00B05609"/>
    <w:rPr>
      <w:rFonts w:ascii="Times New Roman" w:eastAsia="Times New Roman" w:hAnsi="Times New Roman" w:cs="Mangal"/>
      <w:b/>
      <w:bCs/>
      <w:color w:val="000000"/>
      <w:spacing w:val="-9"/>
      <w:sz w:val="23"/>
      <w:szCs w:val="23"/>
      <w:lang w:eastAsia="en-US" w:bidi="sa-IN"/>
    </w:rPr>
  </w:style>
  <w:style w:type="character" w:customStyle="1" w:styleId="ListLabel16">
    <w:name w:val="ListLabel 16"/>
    <w:qFormat/>
    <w:rsid w:val="00AF27E2"/>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2483">
      <w:bodyDiv w:val="1"/>
      <w:marLeft w:val="0"/>
      <w:marRight w:val="0"/>
      <w:marTop w:val="0"/>
      <w:marBottom w:val="0"/>
      <w:divBdr>
        <w:top w:val="none" w:sz="0" w:space="0" w:color="auto"/>
        <w:left w:val="none" w:sz="0" w:space="0" w:color="auto"/>
        <w:bottom w:val="none" w:sz="0" w:space="0" w:color="auto"/>
        <w:right w:val="none" w:sz="0" w:space="0" w:color="auto"/>
      </w:divBdr>
    </w:div>
    <w:div w:id="56588108">
      <w:bodyDiv w:val="1"/>
      <w:marLeft w:val="0"/>
      <w:marRight w:val="0"/>
      <w:marTop w:val="0"/>
      <w:marBottom w:val="0"/>
      <w:divBdr>
        <w:top w:val="none" w:sz="0" w:space="0" w:color="auto"/>
        <w:left w:val="none" w:sz="0" w:space="0" w:color="auto"/>
        <w:bottom w:val="none" w:sz="0" w:space="0" w:color="auto"/>
        <w:right w:val="none" w:sz="0" w:space="0" w:color="auto"/>
      </w:divBdr>
    </w:div>
    <w:div w:id="57900324">
      <w:bodyDiv w:val="1"/>
      <w:marLeft w:val="0"/>
      <w:marRight w:val="0"/>
      <w:marTop w:val="0"/>
      <w:marBottom w:val="0"/>
      <w:divBdr>
        <w:top w:val="none" w:sz="0" w:space="0" w:color="auto"/>
        <w:left w:val="none" w:sz="0" w:space="0" w:color="auto"/>
        <w:bottom w:val="none" w:sz="0" w:space="0" w:color="auto"/>
        <w:right w:val="none" w:sz="0" w:space="0" w:color="auto"/>
      </w:divBdr>
    </w:div>
    <w:div w:id="88670510">
      <w:bodyDiv w:val="1"/>
      <w:marLeft w:val="0"/>
      <w:marRight w:val="0"/>
      <w:marTop w:val="0"/>
      <w:marBottom w:val="0"/>
      <w:divBdr>
        <w:top w:val="none" w:sz="0" w:space="0" w:color="auto"/>
        <w:left w:val="none" w:sz="0" w:space="0" w:color="auto"/>
        <w:bottom w:val="none" w:sz="0" w:space="0" w:color="auto"/>
        <w:right w:val="none" w:sz="0" w:space="0" w:color="auto"/>
      </w:divBdr>
    </w:div>
    <w:div w:id="144856391">
      <w:bodyDiv w:val="1"/>
      <w:marLeft w:val="0"/>
      <w:marRight w:val="0"/>
      <w:marTop w:val="0"/>
      <w:marBottom w:val="0"/>
      <w:divBdr>
        <w:top w:val="none" w:sz="0" w:space="0" w:color="auto"/>
        <w:left w:val="none" w:sz="0" w:space="0" w:color="auto"/>
        <w:bottom w:val="none" w:sz="0" w:space="0" w:color="auto"/>
        <w:right w:val="none" w:sz="0" w:space="0" w:color="auto"/>
      </w:divBdr>
    </w:div>
    <w:div w:id="162403314">
      <w:bodyDiv w:val="1"/>
      <w:marLeft w:val="0"/>
      <w:marRight w:val="0"/>
      <w:marTop w:val="0"/>
      <w:marBottom w:val="0"/>
      <w:divBdr>
        <w:top w:val="none" w:sz="0" w:space="0" w:color="auto"/>
        <w:left w:val="none" w:sz="0" w:space="0" w:color="auto"/>
        <w:bottom w:val="none" w:sz="0" w:space="0" w:color="auto"/>
        <w:right w:val="none" w:sz="0" w:space="0" w:color="auto"/>
      </w:divBdr>
    </w:div>
    <w:div w:id="183641460">
      <w:bodyDiv w:val="1"/>
      <w:marLeft w:val="0"/>
      <w:marRight w:val="0"/>
      <w:marTop w:val="0"/>
      <w:marBottom w:val="0"/>
      <w:divBdr>
        <w:top w:val="none" w:sz="0" w:space="0" w:color="auto"/>
        <w:left w:val="none" w:sz="0" w:space="0" w:color="auto"/>
        <w:bottom w:val="none" w:sz="0" w:space="0" w:color="auto"/>
        <w:right w:val="none" w:sz="0" w:space="0" w:color="auto"/>
      </w:divBdr>
    </w:div>
    <w:div w:id="232080623">
      <w:bodyDiv w:val="1"/>
      <w:marLeft w:val="0"/>
      <w:marRight w:val="0"/>
      <w:marTop w:val="0"/>
      <w:marBottom w:val="0"/>
      <w:divBdr>
        <w:top w:val="none" w:sz="0" w:space="0" w:color="auto"/>
        <w:left w:val="none" w:sz="0" w:space="0" w:color="auto"/>
        <w:bottom w:val="none" w:sz="0" w:space="0" w:color="auto"/>
        <w:right w:val="none" w:sz="0" w:space="0" w:color="auto"/>
      </w:divBdr>
    </w:div>
    <w:div w:id="336421168">
      <w:bodyDiv w:val="1"/>
      <w:marLeft w:val="0"/>
      <w:marRight w:val="0"/>
      <w:marTop w:val="0"/>
      <w:marBottom w:val="0"/>
      <w:divBdr>
        <w:top w:val="none" w:sz="0" w:space="0" w:color="auto"/>
        <w:left w:val="none" w:sz="0" w:space="0" w:color="auto"/>
        <w:bottom w:val="none" w:sz="0" w:space="0" w:color="auto"/>
        <w:right w:val="none" w:sz="0" w:space="0" w:color="auto"/>
      </w:divBdr>
    </w:div>
    <w:div w:id="388308157">
      <w:bodyDiv w:val="1"/>
      <w:marLeft w:val="0"/>
      <w:marRight w:val="0"/>
      <w:marTop w:val="0"/>
      <w:marBottom w:val="0"/>
      <w:divBdr>
        <w:top w:val="none" w:sz="0" w:space="0" w:color="auto"/>
        <w:left w:val="none" w:sz="0" w:space="0" w:color="auto"/>
        <w:bottom w:val="none" w:sz="0" w:space="0" w:color="auto"/>
        <w:right w:val="none" w:sz="0" w:space="0" w:color="auto"/>
      </w:divBdr>
    </w:div>
    <w:div w:id="405878434">
      <w:bodyDiv w:val="1"/>
      <w:marLeft w:val="0"/>
      <w:marRight w:val="0"/>
      <w:marTop w:val="0"/>
      <w:marBottom w:val="0"/>
      <w:divBdr>
        <w:top w:val="none" w:sz="0" w:space="0" w:color="auto"/>
        <w:left w:val="none" w:sz="0" w:space="0" w:color="auto"/>
        <w:bottom w:val="none" w:sz="0" w:space="0" w:color="auto"/>
        <w:right w:val="none" w:sz="0" w:space="0" w:color="auto"/>
      </w:divBdr>
    </w:div>
    <w:div w:id="501353990">
      <w:bodyDiv w:val="1"/>
      <w:marLeft w:val="0"/>
      <w:marRight w:val="0"/>
      <w:marTop w:val="0"/>
      <w:marBottom w:val="0"/>
      <w:divBdr>
        <w:top w:val="none" w:sz="0" w:space="0" w:color="auto"/>
        <w:left w:val="none" w:sz="0" w:space="0" w:color="auto"/>
        <w:bottom w:val="none" w:sz="0" w:space="0" w:color="auto"/>
        <w:right w:val="none" w:sz="0" w:space="0" w:color="auto"/>
      </w:divBdr>
    </w:div>
    <w:div w:id="516503634">
      <w:bodyDiv w:val="1"/>
      <w:marLeft w:val="0"/>
      <w:marRight w:val="0"/>
      <w:marTop w:val="0"/>
      <w:marBottom w:val="0"/>
      <w:divBdr>
        <w:top w:val="none" w:sz="0" w:space="0" w:color="auto"/>
        <w:left w:val="none" w:sz="0" w:space="0" w:color="auto"/>
        <w:bottom w:val="none" w:sz="0" w:space="0" w:color="auto"/>
        <w:right w:val="none" w:sz="0" w:space="0" w:color="auto"/>
      </w:divBdr>
    </w:div>
    <w:div w:id="551355541">
      <w:bodyDiv w:val="1"/>
      <w:marLeft w:val="0"/>
      <w:marRight w:val="0"/>
      <w:marTop w:val="0"/>
      <w:marBottom w:val="0"/>
      <w:divBdr>
        <w:top w:val="none" w:sz="0" w:space="0" w:color="auto"/>
        <w:left w:val="none" w:sz="0" w:space="0" w:color="auto"/>
        <w:bottom w:val="none" w:sz="0" w:space="0" w:color="auto"/>
        <w:right w:val="none" w:sz="0" w:space="0" w:color="auto"/>
      </w:divBdr>
    </w:div>
    <w:div w:id="554388129">
      <w:bodyDiv w:val="1"/>
      <w:marLeft w:val="0"/>
      <w:marRight w:val="0"/>
      <w:marTop w:val="0"/>
      <w:marBottom w:val="0"/>
      <w:divBdr>
        <w:top w:val="none" w:sz="0" w:space="0" w:color="auto"/>
        <w:left w:val="none" w:sz="0" w:space="0" w:color="auto"/>
        <w:bottom w:val="none" w:sz="0" w:space="0" w:color="auto"/>
        <w:right w:val="none" w:sz="0" w:space="0" w:color="auto"/>
      </w:divBdr>
    </w:div>
    <w:div w:id="578515552">
      <w:bodyDiv w:val="1"/>
      <w:marLeft w:val="0"/>
      <w:marRight w:val="0"/>
      <w:marTop w:val="0"/>
      <w:marBottom w:val="0"/>
      <w:divBdr>
        <w:top w:val="none" w:sz="0" w:space="0" w:color="auto"/>
        <w:left w:val="none" w:sz="0" w:space="0" w:color="auto"/>
        <w:bottom w:val="none" w:sz="0" w:space="0" w:color="auto"/>
        <w:right w:val="none" w:sz="0" w:space="0" w:color="auto"/>
      </w:divBdr>
    </w:div>
    <w:div w:id="582687693">
      <w:bodyDiv w:val="1"/>
      <w:marLeft w:val="0"/>
      <w:marRight w:val="0"/>
      <w:marTop w:val="0"/>
      <w:marBottom w:val="0"/>
      <w:divBdr>
        <w:top w:val="none" w:sz="0" w:space="0" w:color="auto"/>
        <w:left w:val="none" w:sz="0" w:space="0" w:color="auto"/>
        <w:bottom w:val="none" w:sz="0" w:space="0" w:color="auto"/>
        <w:right w:val="none" w:sz="0" w:space="0" w:color="auto"/>
      </w:divBdr>
    </w:div>
    <w:div w:id="584149025">
      <w:bodyDiv w:val="1"/>
      <w:marLeft w:val="0"/>
      <w:marRight w:val="0"/>
      <w:marTop w:val="0"/>
      <w:marBottom w:val="0"/>
      <w:divBdr>
        <w:top w:val="none" w:sz="0" w:space="0" w:color="auto"/>
        <w:left w:val="none" w:sz="0" w:space="0" w:color="auto"/>
        <w:bottom w:val="none" w:sz="0" w:space="0" w:color="auto"/>
        <w:right w:val="none" w:sz="0" w:space="0" w:color="auto"/>
      </w:divBdr>
    </w:div>
    <w:div w:id="649865648">
      <w:bodyDiv w:val="1"/>
      <w:marLeft w:val="0"/>
      <w:marRight w:val="0"/>
      <w:marTop w:val="0"/>
      <w:marBottom w:val="0"/>
      <w:divBdr>
        <w:top w:val="none" w:sz="0" w:space="0" w:color="auto"/>
        <w:left w:val="none" w:sz="0" w:space="0" w:color="auto"/>
        <w:bottom w:val="none" w:sz="0" w:space="0" w:color="auto"/>
        <w:right w:val="none" w:sz="0" w:space="0" w:color="auto"/>
      </w:divBdr>
    </w:div>
    <w:div w:id="669604307">
      <w:bodyDiv w:val="1"/>
      <w:marLeft w:val="0"/>
      <w:marRight w:val="0"/>
      <w:marTop w:val="0"/>
      <w:marBottom w:val="0"/>
      <w:divBdr>
        <w:top w:val="none" w:sz="0" w:space="0" w:color="auto"/>
        <w:left w:val="none" w:sz="0" w:space="0" w:color="auto"/>
        <w:bottom w:val="none" w:sz="0" w:space="0" w:color="auto"/>
        <w:right w:val="none" w:sz="0" w:space="0" w:color="auto"/>
      </w:divBdr>
    </w:div>
    <w:div w:id="700396703">
      <w:bodyDiv w:val="1"/>
      <w:marLeft w:val="0"/>
      <w:marRight w:val="0"/>
      <w:marTop w:val="0"/>
      <w:marBottom w:val="0"/>
      <w:divBdr>
        <w:top w:val="none" w:sz="0" w:space="0" w:color="auto"/>
        <w:left w:val="none" w:sz="0" w:space="0" w:color="auto"/>
        <w:bottom w:val="none" w:sz="0" w:space="0" w:color="auto"/>
        <w:right w:val="none" w:sz="0" w:space="0" w:color="auto"/>
      </w:divBdr>
    </w:div>
    <w:div w:id="767581116">
      <w:bodyDiv w:val="1"/>
      <w:marLeft w:val="0"/>
      <w:marRight w:val="0"/>
      <w:marTop w:val="0"/>
      <w:marBottom w:val="0"/>
      <w:divBdr>
        <w:top w:val="none" w:sz="0" w:space="0" w:color="auto"/>
        <w:left w:val="none" w:sz="0" w:space="0" w:color="auto"/>
        <w:bottom w:val="none" w:sz="0" w:space="0" w:color="auto"/>
        <w:right w:val="none" w:sz="0" w:space="0" w:color="auto"/>
      </w:divBdr>
    </w:div>
    <w:div w:id="785930314">
      <w:bodyDiv w:val="1"/>
      <w:marLeft w:val="0"/>
      <w:marRight w:val="0"/>
      <w:marTop w:val="0"/>
      <w:marBottom w:val="0"/>
      <w:divBdr>
        <w:top w:val="none" w:sz="0" w:space="0" w:color="auto"/>
        <w:left w:val="none" w:sz="0" w:space="0" w:color="auto"/>
        <w:bottom w:val="none" w:sz="0" w:space="0" w:color="auto"/>
        <w:right w:val="none" w:sz="0" w:space="0" w:color="auto"/>
      </w:divBdr>
    </w:div>
    <w:div w:id="826171141">
      <w:bodyDiv w:val="1"/>
      <w:marLeft w:val="0"/>
      <w:marRight w:val="0"/>
      <w:marTop w:val="0"/>
      <w:marBottom w:val="0"/>
      <w:divBdr>
        <w:top w:val="none" w:sz="0" w:space="0" w:color="auto"/>
        <w:left w:val="none" w:sz="0" w:space="0" w:color="auto"/>
        <w:bottom w:val="none" w:sz="0" w:space="0" w:color="auto"/>
        <w:right w:val="none" w:sz="0" w:space="0" w:color="auto"/>
      </w:divBdr>
    </w:div>
    <w:div w:id="844172485">
      <w:bodyDiv w:val="1"/>
      <w:marLeft w:val="0"/>
      <w:marRight w:val="0"/>
      <w:marTop w:val="0"/>
      <w:marBottom w:val="0"/>
      <w:divBdr>
        <w:top w:val="none" w:sz="0" w:space="0" w:color="auto"/>
        <w:left w:val="none" w:sz="0" w:space="0" w:color="auto"/>
        <w:bottom w:val="none" w:sz="0" w:space="0" w:color="auto"/>
        <w:right w:val="none" w:sz="0" w:space="0" w:color="auto"/>
      </w:divBdr>
    </w:div>
    <w:div w:id="867328103">
      <w:bodyDiv w:val="1"/>
      <w:marLeft w:val="0"/>
      <w:marRight w:val="0"/>
      <w:marTop w:val="0"/>
      <w:marBottom w:val="0"/>
      <w:divBdr>
        <w:top w:val="none" w:sz="0" w:space="0" w:color="auto"/>
        <w:left w:val="none" w:sz="0" w:space="0" w:color="auto"/>
        <w:bottom w:val="none" w:sz="0" w:space="0" w:color="auto"/>
        <w:right w:val="none" w:sz="0" w:space="0" w:color="auto"/>
      </w:divBdr>
    </w:div>
    <w:div w:id="870997546">
      <w:bodyDiv w:val="1"/>
      <w:marLeft w:val="0"/>
      <w:marRight w:val="0"/>
      <w:marTop w:val="0"/>
      <w:marBottom w:val="0"/>
      <w:divBdr>
        <w:top w:val="none" w:sz="0" w:space="0" w:color="auto"/>
        <w:left w:val="none" w:sz="0" w:space="0" w:color="auto"/>
        <w:bottom w:val="none" w:sz="0" w:space="0" w:color="auto"/>
        <w:right w:val="none" w:sz="0" w:space="0" w:color="auto"/>
      </w:divBdr>
    </w:div>
    <w:div w:id="931621716">
      <w:bodyDiv w:val="1"/>
      <w:marLeft w:val="0"/>
      <w:marRight w:val="0"/>
      <w:marTop w:val="0"/>
      <w:marBottom w:val="0"/>
      <w:divBdr>
        <w:top w:val="none" w:sz="0" w:space="0" w:color="auto"/>
        <w:left w:val="none" w:sz="0" w:space="0" w:color="auto"/>
        <w:bottom w:val="none" w:sz="0" w:space="0" w:color="auto"/>
        <w:right w:val="none" w:sz="0" w:space="0" w:color="auto"/>
      </w:divBdr>
    </w:div>
    <w:div w:id="1017656149">
      <w:bodyDiv w:val="1"/>
      <w:marLeft w:val="0"/>
      <w:marRight w:val="0"/>
      <w:marTop w:val="0"/>
      <w:marBottom w:val="0"/>
      <w:divBdr>
        <w:top w:val="none" w:sz="0" w:space="0" w:color="auto"/>
        <w:left w:val="none" w:sz="0" w:space="0" w:color="auto"/>
        <w:bottom w:val="none" w:sz="0" w:space="0" w:color="auto"/>
        <w:right w:val="none" w:sz="0" w:space="0" w:color="auto"/>
      </w:divBdr>
    </w:div>
    <w:div w:id="1024939187">
      <w:bodyDiv w:val="1"/>
      <w:marLeft w:val="0"/>
      <w:marRight w:val="0"/>
      <w:marTop w:val="0"/>
      <w:marBottom w:val="0"/>
      <w:divBdr>
        <w:top w:val="none" w:sz="0" w:space="0" w:color="auto"/>
        <w:left w:val="none" w:sz="0" w:space="0" w:color="auto"/>
        <w:bottom w:val="none" w:sz="0" w:space="0" w:color="auto"/>
        <w:right w:val="none" w:sz="0" w:space="0" w:color="auto"/>
      </w:divBdr>
    </w:div>
    <w:div w:id="1186821544">
      <w:bodyDiv w:val="1"/>
      <w:marLeft w:val="0"/>
      <w:marRight w:val="0"/>
      <w:marTop w:val="0"/>
      <w:marBottom w:val="0"/>
      <w:divBdr>
        <w:top w:val="none" w:sz="0" w:space="0" w:color="auto"/>
        <w:left w:val="none" w:sz="0" w:space="0" w:color="auto"/>
        <w:bottom w:val="none" w:sz="0" w:space="0" w:color="auto"/>
        <w:right w:val="none" w:sz="0" w:space="0" w:color="auto"/>
      </w:divBdr>
    </w:div>
    <w:div w:id="1235705087">
      <w:bodyDiv w:val="1"/>
      <w:marLeft w:val="0"/>
      <w:marRight w:val="0"/>
      <w:marTop w:val="0"/>
      <w:marBottom w:val="0"/>
      <w:divBdr>
        <w:top w:val="none" w:sz="0" w:space="0" w:color="auto"/>
        <w:left w:val="none" w:sz="0" w:space="0" w:color="auto"/>
        <w:bottom w:val="none" w:sz="0" w:space="0" w:color="auto"/>
        <w:right w:val="none" w:sz="0" w:space="0" w:color="auto"/>
      </w:divBdr>
    </w:div>
    <w:div w:id="1246301554">
      <w:bodyDiv w:val="1"/>
      <w:marLeft w:val="0"/>
      <w:marRight w:val="0"/>
      <w:marTop w:val="0"/>
      <w:marBottom w:val="0"/>
      <w:divBdr>
        <w:top w:val="none" w:sz="0" w:space="0" w:color="auto"/>
        <w:left w:val="none" w:sz="0" w:space="0" w:color="auto"/>
        <w:bottom w:val="none" w:sz="0" w:space="0" w:color="auto"/>
        <w:right w:val="none" w:sz="0" w:space="0" w:color="auto"/>
      </w:divBdr>
    </w:div>
    <w:div w:id="1255434099">
      <w:bodyDiv w:val="1"/>
      <w:marLeft w:val="0"/>
      <w:marRight w:val="0"/>
      <w:marTop w:val="0"/>
      <w:marBottom w:val="0"/>
      <w:divBdr>
        <w:top w:val="none" w:sz="0" w:space="0" w:color="auto"/>
        <w:left w:val="none" w:sz="0" w:space="0" w:color="auto"/>
        <w:bottom w:val="none" w:sz="0" w:space="0" w:color="auto"/>
        <w:right w:val="none" w:sz="0" w:space="0" w:color="auto"/>
      </w:divBdr>
    </w:div>
    <w:div w:id="1258294324">
      <w:bodyDiv w:val="1"/>
      <w:marLeft w:val="0"/>
      <w:marRight w:val="0"/>
      <w:marTop w:val="0"/>
      <w:marBottom w:val="0"/>
      <w:divBdr>
        <w:top w:val="none" w:sz="0" w:space="0" w:color="auto"/>
        <w:left w:val="none" w:sz="0" w:space="0" w:color="auto"/>
        <w:bottom w:val="none" w:sz="0" w:space="0" w:color="auto"/>
        <w:right w:val="none" w:sz="0" w:space="0" w:color="auto"/>
      </w:divBdr>
    </w:div>
    <w:div w:id="1319530804">
      <w:bodyDiv w:val="1"/>
      <w:marLeft w:val="0"/>
      <w:marRight w:val="0"/>
      <w:marTop w:val="0"/>
      <w:marBottom w:val="0"/>
      <w:divBdr>
        <w:top w:val="none" w:sz="0" w:space="0" w:color="auto"/>
        <w:left w:val="none" w:sz="0" w:space="0" w:color="auto"/>
        <w:bottom w:val="none" w:sz="0" w:space="0" w:color="auto"/>
        <w:right w:val="none" w:sz="0" w:space="0" w:color="auto"/>
      </w:divBdr>
    </w:div>
    <w:div w:id="1366905403">
      <w:bodyDiv w:val="1"/>
      <w:marLeft w:val="0"/>
      <w:marRight w:val="0"/>
      <w:marTop w:val="0"/>
      <w:marBottom w:val="0"/>
      <w:divBdr>
        <w:top w:val="none" w:sz="0" w:space="0" w:color="auto"/>
        <w:left w:val="none" w:sz="0" w:space="0" w:color="auto"/>
        <w:bottom w:val="none" w:sz="0" w:space="0" w:color="auto"/>
        <w:right w:val="none" w:sz="0" w:space="0" w:color="auto"/>
      </w:divBdr>
    </w:div>
    <w:div w:id="1385369336">
      <w:bodyDiv w:val="1"/>
      <w:marLeft w:val="0"/>
      <w:marRight w:val="0"/>
      <w:marTop w:val="0"/>
      <w:marBottom w:val="0"/>
      <w:divBdr>
        <w:top w:val="none" w:sz="0" w:space="0" w:color="auto"/>
        <w:left w:val="none" w:sz="0" w:space="0" w:color="auto"/>
        <w:bottom w:val="none" w:sz="0" w:space="0" w:color="auto"/>
        <w:right w:val="none" w:sz="0" w:space="0" w:color="auto"/>
      </w:divBdr>
    </w:div>
    <w:div w:id="1494253167">
      <w:bodyDiv w:val="1"/>
      <w:marLeft w:val="0"/>
      <w:marRight w:val="0"/>
      <w:marTop w:val="0"/>
      <w:marBottom w:val="0"/>
      <w:divBdr>
        <w:top w:val="none" w:sz="0" w:space="0" w:color="auto"/>
        <w:left w:val="none" w:sz="0" w:space="0" w:color="auto"/>
        <w:bottom w:val="none" w:sz="0" w:space="0" w:color="auto"/>
        <w:right w:val="none" w:sz="0" w:space="0" w:color="auto"/>
      </w:divBdr>
    </w:div>
    <w:div w:id="1560246680">
      <w:bodyDiv w:val="1"/>
      <w:marLeft w:val="0"/>
      <w:marRight w:val="0"/>
      <w:marTop w:val="0"/>
      <w:marBottom w:val="0"/>
      <w:divBdr>
        <w:top w:val="none" w:sz="0" w:space="0" w:color="auto"/>
        <w:left w:val="none" w:sz="0" w:space="0" w:color="auto"/>
        <w:bottom w:val="none" w:sz="0" w:space="0" w:color="auto"/>
        <w:right w:val="none" w:sz="0" w:space="0" w:color="auto"/>
      </w:divBdr>
    </w:div>
    <w:div w:id="1635477218">
      <w:bodyDiv w:val="1"/>
      <w:marLeft w:val="0"/>
      <w:marRight w:val="0"/>
      <w:marTop w:val="0"/>
      <w:marBottom w:val="0"/>
      <w:divBdr>
        <w:top w:val="none" w:sz="0" w:space="0" w:color="auto"/>
        <w:left w:val="none" w:sz="0" w:space="0" w:color="auto"/>
        <w:bottom w:val="none" w:sz="0" w:space="0" w:color="auto"/>
        <w:right w:val="none" w:sz="0" w:space="0" w:color="auto"/>
      </w:divBdr>
    </w:div>
    <w:div w:id="1737513567">
      <w:bodyDiv w:val="1"/>
      <w:marLeft w:val="0"/>
      <w:marRight w:val="0"/>
      <w:marTop w:val="0"/>
      <w:marBottom w:val="0"/>
      <w:divBdr>
        <w:top w:val="none" w:sz="0" w:space="0" w:color="auto"/>
        <w:left w:val="none" w:sz="0" w:space="0" w:color="auto"/>
        <w:bottom w:val="none" w:sz="0" w:space="0" w:color="auto"/>
        <w:right w:val="none" w:sz="0" w:space="0" w:color="auto"/>
      </w:divBdr>
    </w:div>
    <w:div w:id="1800882121">
      <w:bodyDiv w:val="1"/>
      <w:marLeft w:val="0"/>
      <w:marRight w:val="0"/>
      <w:marTop w:val="0"/>
      <w:marBottom w:val="0"/>
      <w:divBdr>
        <w:top w:val="none" w:sz="0" w:space="0" w:color="auto"/>
        <w:left w:val="none" w:sz="0" w:space="0" w:color="auto"/>
        <w:bottom w:val="none" w:sz="0" w:space="0" w:color="auto"/>
        <w:right w:val="none" w:sz="0" w:space="0" w:color="auto"/>
      </w:divBdr>
    </w:div>
    <w:div w:id="1848985319">
      <w:bodyDiv w:val="1"/>
      <w:marLeft w:val="0"/>
      <w:marRight w:val="0"/>
      <w:marTop w:val="0"/>
      <w:marBottom w:val="0"/>
      <w:divBdr>
        <w:top w:val="none" w:sz="0" w:space="0" w:color="auto"/>
        <w:left w:val="none" w:sz="0" w:space="0" w:color="auto"/>
        <w:bottom w:val="none" w:sz="0" w:space="0" w:color="auto"/>
        <w:right w:val="none" w:sz="0" w:space="0" w:color="auto"/>
      </w:divBdr>
    </w:div>
    <w:div w:id="1889343010">
      <w:bodyDiv w:val="1"/>
      <w:marLeft w:val="0"/>
      <w:marRight w:val="0"/>
      <w:marTop w:val="0"/>
      <w:marBottom w:val="0"/>
      <w:divBdr>
        <w:top w:val="none" w:sz="0" w:space="0" w:color="auto"/>
        <w:left w:val="none" w:sz="0" w:space="0" w:color="auto"/>
        <w:bottom w:val="none" w:sz="0" w:space="0" w:color="auto"/>
        <w:right w:val="none" w:sz="0" w:space="0" w:color="auto"/>
      </w:divBdr>
    </w:div>
    <w:div w:id="1905138678">
      <w:bodyDiv w:val="1"/>
      <w:marLeft w:val="0"/>
      <w:marRight w:val="0"/>
      <w:marTop w:val="0"/>
      <w:marBottom w:val="0"/>
      <w:divBdr>
        <w:top w:val="none" w:sz="0" w:space="0" w:color="auto"/>
        <w:left w:val="none" w:sz="0" w:space="0" w:color="auto"/>
        <w:bottom w:val="none" w:sz="0" w:space="0" w:color="auto"/>
        <w:right w:val="none" w:sz="0" w:space="0" w:color="auto"/>
      </w:divBdr>
    </w:div>
    <w:div w:id="1928616365">
      <w:bodyDiv w:val="1"/>
      <w:marLeft w:val="0"/>
      <w:marRight w:val="0"/>
      <w:marTop w:val="0"/>
      <w:marBottom w:val="0"/>
      <w:divBdr>
        <w:top w:val="none" w:sz="0" w:space="0" w:color="auto"/>
        <w:left w:val="none" w:sz="0" w:space="0" w:color="auto"/>
        <w:bottom w:val="none" w:sz="0" w:space="0" w:color="auto"/>
        <w:right w:val="none" w:sz="0" w:space="0" w:color="auto"/>
      </w:divBdr>
    </w:div>
    <w:div w:id="1931886913">
      <w:bodyDiv w:val="1"/>
      <w:marLeft w:val="0"/>
      <w:marRight w:val="0"/>
      <w:marTop w:val="0"/>
      <w:marBottom w:val="0"/>
      <w:divBdr>
        <w:top w:val="none" w:sz="0" w:space="0" w:color="auto"/>
        <w:left w:val="none" w:sz="0" w:space="0" w:color="auto"/>
        <w:bottom w:val="none" w:sz="0" w:space="0" w:color="auto"/>
        <w:right w:val="none" w:sz="0" w:space="0" w:color="auto"/>
      </w:divBdr>
    </w:div>
    <w:div w:id="1934707097">
      <w:bodyDiv w:val="1"/>
      <w:marLeft w:val="0"/>
      <w:marRight w:val="0"/>
      <w:marTop w:val="0"/>
      <w:marBottom w:val="0"/>
      <w:divBdr>
        <w:top w:val="none" w:sz="0" w:space="0" w:color="auto"/>
        <w:left w:val="none" w:sz="0" w:space="0" w:color="auto"/>
        <w:bottom w:val="none" w:sz="0" w:space="0" w:color="auto"/>
        <w:right w:val="none" w:sz="0" w:space="0" w:color="auto"/>
      </w:divBdr>
    </w:div>
    <w:div w:id="2019387335">
      <w:bodyDiv w:val="1"/>
      <w:marLeft w:val="0"/>
      <w:marRight w:val="0"/>
      <w:marTop w:val="0"/>
      <w:marBottom w:val="0"/>
      <w:divBdr>
        <w:top w:val="none" w:sz="0" w:space="0" w:color="auto"/>
        <w:left w:val="none" w:sz="0" w:space="0" w:color="auto"/>
        <w:bottom w:val="none" w:sz="0" w:space="0" w:color="auto"/>
        <w:right w:val="none" w:sz="0" w:space="0" w:color="auto"/>
      </w:divBdr>
    </w:div>
    <w:div w:id="209200544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oleObject" Target="embeddings/Microsoft_Excel_97-2003_Worksheet4.xls"/><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Microsoft_Excel_97-2003_Worksheet1.xls"/><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oleObject" Target="embeddings/Microsoft_Excel_97-2003_Worksheet3.xls"/><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oleObject" Target="embeddings/Microsoft_Excel_97-2003_Worksheet.xls"/><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Microsoft_Excel_97-2003_Worksheet2.xls"/><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68838-200E-4CA8-9498-A868EFAE9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8796</Words>
  <Characters>5014</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13783</CharactersWithSpaces>
  <SharedDoc>false</SharedDoc>
  <HLinks>
    <vt:vector size="36" baseType="variant">
      <vt:variant>
        <vt:i4>1179701</vt:i4>
      </vt:variant>
      <vt:variant>
        <vt:i4>26</vt:i4>
      </vt:variant>
      <vt:variant>
        <vt:i4>0</vt:i4>
      </vt:variant>
      <vt:variant>
        <vt:i4>5</vt:i4>
      </vt:variant>
      <vt:variant>
        <vt:lpwstr/>
      </vt:variant>
      <vt:variant>
        <vt:lpwstr>_Toc473130138</vt:lpwstr>
      </vt:variant>
      <vt:variant>
        <vt:i4>1179701</vt:i4>
      </vt:variant>
      <vt:variant>
        <vt:i4>23</vt:i4>
      </vt:variant>
      <vt:variant>
        <vt:i4>0</vt:i4>
      </vt:variant>
      <vt:variant>
        <vt:i4>5</vt:i4>
      </vt:variant>
      <vt:variant>
        <vt:lpwstr/>
      </vt:variant>
      <vt:variant>
        <vt:lpwstr>_Toc473130137</vt:lpwstr>
      </vt:variant>
      <vt:variant>
        <vt:i4>1179701</vt:i4>
      </vt:variant>
      <vt:variant>
        <vt:i4>20</vt:i4>
      </vt:variant>
      <vt:variant>
        <vt:i4>0</vt:i4>
      </vt:variant>
      <vt:variant>
        <vt:i4>5</vt:i4>
      </vt:variant>
      <vt:variant>
        <vt:lpwstr/>
      </vt:variant>
      <vt:variant>
        <vt:lpwstr>_Toc473130136</vt:lpwstr>
      </vt:variant>
      <vt:variant>
        <vt:i4>1179701</vt:i4>
      </vt:variant>
      <vt:variant>
        <vt:i4>14</vt:i4>
      </vt:variant>
      <vt:variant>
        <vt:i4>0</vt:i4>
      </vt:variant>
      <vt:variant>
        <vt:i4>5</vt:i4>
      </vt:variant>
      <vt:variant>
        <vt:lpwstr/>
      </vt:variant>
      <vt:variant>
        <vt:lpwstr>_Toc473130135</vt:lpwstr>
      </vt:variant>
      <vt:variant>
        <vt:i4>1179701</vt:i4>
      </vt:variant>
      <vt:variant>
        <vt:i4>8</vt:i4>
      </vt:variant>
      <vt:variant>
        <vt:i4>0</vt:i4>
      </vt:variant>
      <vt:variant>
        <vt:i4>5</vt:i4>
      </vt:variant>
      <vt:variant>
        <vt:lpwstr/>
      </vt:variant>
      <vt:variant>
        <vt:lpwstr>_Toc473130134</vt:lpwstr>
      </vt:variant>
      <vt:variant>
        <vt:i4>1179701</vt:i4>
      </vt:variant>
      <vt:variant>
        <vt:i4>2</vt:i4>
      </vt:variant>
      <vt:variant>
        <vt:i4>0</vt:i4>
      </vt:variant>
      <vt:variant>
        <vt:i4>5</vt:i4>
      </vt:variant>
      <vt:variant>
        <vt:lpwstr/>
      </vt:variant>
      <vt:variant>
        <vt:lpwstr>_Toc473130133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User_3</dc:creator>
  <cp:lastModifiedBy>User</cp:lastModifiedBy>
  <cp:revision>2</cp:revision>
  <cp:lastPrinted>2022-10-29T04:46:00Z</cp:lastPrinted>
  <dcterms:created xsi:type="dcterms:W3CDTF">2023-01-23T10:37:00Z</dcterms:created>
  <dcterms:modified xsi:type="dcterms:W3CDTF">2023-01-23T10:37:00Z</dcterms:modified>
</cp:coreProperties>
</file>