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11E84" w14:textId="77777777" w:rsidR="00CF6545" w:rsidRPr="0079073F" w:rsidRDefault="00CC6901" w:rsidP="00CF6545">
      <w:pPr>
        <w:spacing w:before="120" w:after="120"/>
        <w:jc w:val="center"/>
        <w:rPr>
          <w:rFonts w:cs="Tahoma"/>
          <w:noProof/>
          <w:snapToGrid w:val="0"/>
        </w:rPr>
      </w:pPr>
      <w:r>
        <w:rPr>
          <w:noProof/>
        </w:rPr>
        <w:drawing>
          <wp:inline distT="0" distB="0" distL="0" distR="0" wp14:anchorId="1B081E95" wp14:editId="2189F9A2">
            <wp:extent cx="1996440" cy="1623060"/>
            <wp:effectExtent l="0" t="0" r="3810" b="0"/>
            <wp:docPr id="1" name="Picture 1" descr="C:\Users\neo\AppData\Local\Microsoft\Windows\Temporary Internet Files\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neo\AppData\Local\Microsoft\Windows\Temporary Internet Files\Content.Word\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6440" cy="1623060"/>
                    </a:xfrm>
                    <a:prstGeom prst="rect">
                      <a:avLst/>
                    </a:prstGeom>
                    <a:noFill/>
                    <a:ln>
                      <a:noFill/>
                    </a:ln>
                  </pic:spPr>
                </pic:pic>
              </a:graphicData>
            </a:graphic>
          </wp:inline>
        </w:drawing>
      </w:r>
    </w:p>
    <w:p w14:paraId="736C7462" w14:textId="77777777" w:rsidR="00CF6545" w:rsidRPr="0079073F" w:rsidRDefault="00CF6545" w:rsidP="00CF6545">
      <w:pPr>
        <w:spacing w:before="120" w:after="120"/>
        <w:jc w:val="center"/>
        <w:rPr>
          <w:rFonts w:cs="Tahoma"/>
          <w:noProof/>
          <w:snapToGrid w:val="0"/>
        </w:rPr>
      </w:pPr>
    </w:p>
    <w:p w14:paraId="22B9C9EA" w14:textId="77777777" w:rsidR="00CF6545" w:rsidRPr="0079073F" w:rsidRDefault="00CF6545" w:rsidP="006750B6">
      <w:pPr>
        <w:spacing w:before="120" w:after="120"/>
        <w:rPr>
          <w:rFonts w:cs="Tahoma"/>
          <w:noProof/>
          <w:snapToGrid w:val="0"/>
        </w:rPr>
      </w:pPr>
    </w:p>
    <w:p w14:paraId="4C83E8A7" w14:textId="77777777" w:rsidR="00CF6545" w:rsidRPr="0079073F" w:rsidRDefault="00CF6545" w:rsidP="00CF6545">
      <w:pPr>
        <w:spacing w:before="120" w:after="120"/>
        <w:jc w:val="center"/>
        <w:rPr>
          <w:rFonts w:cs="Tahoma"/>
          <w:noProof/>
          <w:snapToGrid w:val="0"/>
        </w:rPr>
      </w:pPr>
    </w:p>
    <w:p w14:paraId="7B8135EA" w14:textId="77777777" w:rsidR="00CF6545" w:rsidRPr="0079073F" w:rsidRDefault="00CF6545" w:rsidP="00CF6545">
      <w:pPr>
        <w:spacing w:before="120" w:after="120"/>
        <w:jc w:val="center"/>
        <w:rPr>
          <w:rFonts w:cs="Tahoma"/>
          <w:noProof/>
          <w:snapToGrid w:val="0"/>
        </w:rPr>
      </w:pPr>
    </w:p>
    <w:p w14:paraId="26FE5DC0" w14:textId="77777777" w:rsidR="00CF6545" w:rsidRPr="0079073F" w:rsidRDefault="00CF6545" w:rsidP="00CF6545">
      <w:pPr>
        <w:spacing w:before="120" w:after="120"/>
        <w:jc w:val="center"/>
        <w:rPr>
          <w:rFonts w:cs="Tahoma"/>
          <w:noProof/>
          <w:snapToGrid w:val="0"/>
        </w:rPr>
      </w:pPr>
    </w:p>
    <w:p w14:paraId="075F5F74" w14:textId="77777777" w:rsidR="005A4C98" w:rsidRDefault="0079073F" w:rsidP="005A4C98">
      <w:pPr>
        <w:spacing w:after="0"/>
        <w:jc w:val="center"/>
        <w:rPr>
          <w:rFonts w:cs="Tahoma"/>
          <w:b/>
          <w:noProof/>
          <w:snapToGrid w:val="0"/>
          <w:sz w:val="28"/>
        </w:rPr>
      </w:pPr>
      <w:r>
        <w:rPr>
          <w:rFonts w:cs="Tahoma"/>
          <w:b/>
          <w:noProof/>
          <w:snapToGrid w:val="0"/>
          <w:sz w:val="28"/>
        </w:rPr>
        <w:t>SABIEDRĪBA AR IEROBEŽOTU ATBILD</w:t>
      </w:r>
      <w:r w:rsidR="005A4C98">
        <w:rPr>
          <w:rFonts w:cs="Tahoma"/>
          <w:b/>
          <w:noProof/>
          <w:snapToGrid w:val="0"/>
          <w:sz w:val="28"/>
        </w:rPr>
        <w:t>ĪBU</w:t>
      </w:r>
      <w:r w:rsidR="00CF6545" w:rsidRPr="0079073F">
        <w:rPr>
          <w:rFonts w:cs="Tahoma"/>
          <w:b/>
          <w:noProof/>
          <w:snapToGrid w:val="0"/>
          <w:sz w:val="28"/>
        </w:rPr>
        <w:t xml:space="preserve"> </w:t>
      </w:r>
    </w:p>
    <w:p w14:paraId="70DD8A4D" w14:textId="77777777" w:rsidR="00CF6545" w:rsidRDefault="00CF6545" w:rsidP="005A4C98">
      <w:pPr>
        <w:spacing w:after="0"/>
        <w:jc w:val="center"/>
        <w:rPr>
          <w:rFonts w:cs="Tahoma"/>
          <w:b/>
          <w:noProof/>
          <w:snapToGrid w:val="0"/>
          <w:sz w:val="28"/>
        </w:rPr>
      </w:pPr>
      <w:r w:rsidRPr="0079073F">
        <w:rPr>
          <w:rFonts w:cs="Tahoma"/>
          <w:b/>
          <w:noProof/>
          <w:snapToGrid w:val="0"/>
          <w:sz w:val="28"/>
        </w:rPr>
        <w:t>“</w:t>
      </w:r>
      <w:r w:rsidR="00B15DF8">
        <w:rPr>
          <w:rFonts w:cs="Tahoma"/>
          <w:b/>
          <w:noProof/>
          <w:snapToGrid w:val="0"/>
          <w:sz w:val="28"/>
        </w:rPr>
        <w:t>LIMBAŽU SLIMNĪCA</w:t>
      </w:r>
      <w:r w:rsidRPr="0079073F">
        <w:rPr>
          <w:rFonts w:cs="Tahoma"/>
          <w:b/>
          <w:noProof/>
          <w:snapToGrid w:val="0"/>
          <w:sz w:val="28"/>
        </w:rPr>
        <w:t>”</w:t>
      </w:r>
    </w:p>
    <w:p w14:paraId="650DC1EE" w14:textId="6292C458" w:rsidR="007A44AA" w:rsidRPr="00372B15" w:rsidRDefault="007A44AA" w:rsidP="005A4C98">
      <w:pPr>
        <w:spacing w:after="0"/>
        <w:jc w:val="center"/>
        <w:rPr>
          <w:rFonts w:cs="Tahoma"/>
          <w:b/>
          <w:noProof/>
          <w:snapToGrid w:val="0"/>
          <w:sz w:val="28"/>
        </w:rPr>
      </w:pPr>
      <w:r w:rsidRPr="00372B15">
        <w:rPr>
          <w:rFonts w:cs="Tahoma"/>
          <w:b/>
          <w:noProof/>
          <w:snapToGrid w:val="0"/>
          <w:sz w:val="28"/>
        </w:rPr>
        <w:t>(Mazā Sabiedrība)</w:t>
      </w:r>
    </w:p>
    <w:p w14:paraId="7E0FAFC5" w14:textId="77777777" w:rsidR="00CF6545" w:rsidRPr="0079073F" w:rsidRDefault="00CF6545" w:rsidP="00CF6545">
      <w:pPr>
        <w:spacing w:before="120" w:after="120"/>
        <w:jc w:val="center"/>
        <w:rPr>
          <w:rFonts w:cs="Tahoma"/>
          <w:b/>
          <w:noProof/>
          <w:snapToGrid w:val="0"/>
        </w:rPr>
      </w:pPr>
    </w:p>
    <w:p w14:paraId="3F7D67C3" w14:textId="7FDB8B09" w:rsidR="00747CCE" w:rsidRDefault="008E3E5A" w:rsidP="00CF6545">
      <w:pPr>
        <w:pBdr>
          <w:bottom w:val="single" w:sz="4" w:space="1" w:color="auto"/>
        </w:pBdr>
        <w:spacing w:before="240" w:after="240"/>
        <w:jc w:val="center"/>
        <w:rPr>
          <w:rFonts w:cs="Tahoma"/>
          <w:b/>
          <w:noProof/>
          <w:snapToGrid w:val="0"/>
          <w:sz w:val="28"/>
        </w:rPr>
      </w:pPr>
      <w:r>
        <w:rPr>
          <w:rFonts w:cs="Tahoma"/>
          <w:b/>
          <w:noProof/>
          <w:snapToGrid w:val="0"/>
          <w:sz w:val="28"/>
        </w:rPr>
        <w:t>20</w:t>
      </w:r>
      <w:r w:rsidR="0093237F">
        <w:rPr>
          <w:rFonts w:cs="Tahoma"/>
          <w:b/>
          <w:noProof/>
          <w:snapToGrid w:val="0"/>
          <w:sz w:val="28"/>
        </w:rPr>
        <w:t>2</w:t>
      </w:r>
      <w:r w:rsidR="00B411E7">
        <w:rPr>
          <w:rFonts w:cs="Tahoma"/>
          <w:b/>
          <w:noProof/>
          <w:snapToGrid w:val="0"/>
          <w:sz w:val="28"/>
        </w:rPr>
        <w:t>2</w:t>
      </w:r>
      <w:r>
        <w:rPr>
          <w:rFonts w:cs="Tahoma"/>
          <w:b/>
          <w:noProof/>
          <w:snapToGrid w:val="0"/>
          <w:sz w:val="28"/>
        </w:rPr>
        <w:t>.</w:t>
      </w:r>
      <w:r w:rsidR="00B34907">
        <w:rPr>
          <w:rFonts w:cs="Tahoma"/>
          <w:b/>
          <w:noProof/>
          <w:snapToGrid w:val="0"/>
          <w:sz w:val="28"/>
        </w:rPr>
        <w:t xml:space="preserve"> </w:t>
      </w:r>
      <w:r w:rsidR="00364C97">
        <w:rPr>
          <w:rFonts w:cs="Tahoma"/>
          <w:b/>
          <w:noProof/>
          <w:snapToGrid w:val="0"/>
          <w:sz w:val="28"/>
        </w:rPr>
        <w:t>GADA</w:t>
      </w:r>
      <w:r w:rsidR="00F17A04">
        <w:rPr>
          <w:rFonts w:cs="Tahoma"/>
          <w:b/>
          <w:noProof/>
          <w:snapToGrid w:val="0"/>
          <w:sz w:val="28"/>
        </w:rPr>
        <w:t xml:space="preserve"> 2. ceturkšņa </w:t>
      </w:r>
      <w:r w:rsidR="00364C97">
        <w:rPr>
          <w:rFonts w:cs="Tahoma"/>
          <w:b/>
          <w:noProof/>
          <w:snapToGrid w:val="0"/>
          <w:sz w:val="28"/>
        </w:rPr>
        <w:t xml:space="preserve"> </w:t>
      </w:r>
      <w:r w:rsidR="00747CCE">
        <w:rPr>
          <w:rFonts w:cs="Tahoma"/>
          <w:b/>
          <w:noProof/>
          <w:snapToGrid w:val="0"/>
          <w:sz w:val="28"/>
        </w:rPr>
        <w:t>zvērināta revidenta nepārbaudīts</w:t>
      </w:r>
    </w:p>
    <w:p w14:paraId="3AD705E3" w14:textId="0A4388E0" w:rsidR="00CF6545" w:rsidRPr="0079073F" w:rsidRDefault="00747CCE" w:rsidP="00CF6545">
      <w:pPr>
        <w:pBdr>
          <w:bottom w:val="single" w:sz="4" w:space="1" w:color="auto"/>
        </w:pBdr>
        <w:spacing w:before="240" w:after="240"/>
        <w:jc w:val="center"/>
        <w:rPr>
          <w:rFonts w:cs="Tahoma"/>
          <w:b/>
          <w:noProof/>
          <w:snapToGrid w:val="0"/>
          <w:sz w:val="28"/>
        </w:rPr>
      </w:pPr>
      <w:r>
        <w:rPr>
          <w:rFonts w:cs="Tahoma"/>
          <w:b/>
          <w:noProof/>
          <w:snapToGrid w:val="0"/>
          <w:sz w:val="28"/>
        </w:rPr>
        <w:t xml:space="preserve">OPERATĪVAIS </w:t>
      </w:r>
      <w:r w:rsidR="00364C97">
        <w:rPr>
          <w:rFonts w:cs="Tahoma"/>
          <w:b/>
          <w:noProof/>
          <w:snapToGrid w:val="0"/>
          <w:sz w:val="28"/>
        </w:rPr>
        <w:t>PĀRSKATS</w:t>
      </w:r>
    </w:p>
    <w:p w14:paraId="6609AFE7" w14:textId="77777777" w:rsidR="00CF6545" w:rsidRPr="0079073F" w:rsidRDefault="00562677" w:rsidP="00CF6545">
      <w:pPr>
        <w:spacing w:before="120" w:after="240"/>
        <w:ind w:right="-330"/>
        <w:jc w:val="center"/>
        <w:rPr>
          <w:rFonts w:cs="Tahoma"/>
          <w:b/>
          <w:noProof/>
          <w:snapToGrid w:val="0"/>
        </w:rPr>
      </w:pPr>
      <w:r>
        <w:rPr>
          <w:rFonts w:cs="Tahoma"/>
          <w:b/>
          <w:noProof/>
          <w:snapToGrid w:val="0"/>
        </w:rPr>
        <w:t xml:space="preserve">SAGATAVOTS SASKAŅĀ AR GADA PĀRSKATU UN KONSOLIDĒTO GADA PĀRSKATU LIKUMU </w:t>
      </w:r>
    </w:p>
    <w:p w14:paraId="1CAE13FA" w14:textId="77777777" w:rsidR="00CF6545" w:rsidRPr="0079073F" w:rsidRDefault="00CF6545" w:rsidP="00CF6545">
      <w:pPr>
        <w:shd w:val="clear" w:color="auto" w:fill="FFFFFF"/>
        <w:spacing w:before="120" w:after="120"/>
        <w:jc w:val="center"/>
        <w:rPr>
          <w:rFonts w:cs="Tahoma"/>
          <w:szCs w:val="18"/>
        </w:rPr>
      </w:pPr>
    </w:p>
    <w:p w14:paraId="24FF19BF" w14:textId="77777777" w:rsidR="00CF6545" w:rsidRPr="0079073F" w:rsidRDefault="00CF6545" w:rsidP="00CF6545">
      <w:pPr>
        <w:shd w:val="clear" w:color="auto" w:fill="FFFFFF"/>
        <w:spacing w:before="120" w:after="120"/>
        <w:jc w:val="center"/>
        <w:rPr>
          <w:rFonts w:cs="Tahoma"/>
          <w:szCs w:val="18"/>
        </w:rPr>
      </w:pPr>
    </w:p>
    <w:p w14:paraId="698B8A54" w14:textId="77777777" w:rsidR="00CF6545" w:rsidRPr="0079073F" w:rsidRDefault="00CF6545" w:rsidP="00CF6545">
      <w:pPr>
        <w:shd w:val="clear" w:color="auto" w:fill="FFFFFF"/>
        <w:spacing w:before="120" w:after="120"/>
        <w:jc w:val="center"/>
        <w:rPr>
          <w:rFonts w:cs="Tahoma"/>
          <w:szCs w:val="18"/>
        </w:rPr>
      </w:pPr>
    </w:p>
    <w:p w14:paraId="29469F78" w14:textId="77777777" w:rsidR="00CF6545" w:rsidRPr="0079073F" w:rsidRDefault="00CF6545" w:rsidP="006750B6">
      <w:pPr>
        <w:shd w:val="clear" w:color="auto" w:fill="FFFFFF"/>
        <w:spacing w:before="120" w:after="120"/>
        <w:rPr>
          <w:rFonts w:cs="Tahoma"/>
          <w:szCs w:val="18"/>
        </w:rPr>
      </w:pPr>
    </w:p>
    <w:p w14:paraId="1560881A" w14:textId="77777777" w:rsidR="00CF6545" w:rsidRPr="0079073F" w:rsidRDefault="00CF6545" w:rsidP="00CF6545">
      <w:pPr>
        <w:shd w:val="clear" w:color="auto" w:fill="FFFFFF"/>
        <w:spacing w:before="120" w:after="120"/>
        <w:jc w:val="center"/>
        <w:rPr>
          <w:rFonts w:cs="Tahoma"/>
          <w:szCs w:val="18"/>
        </w:rPr>
      </w:pPr>
    </w:p>
    <w:p w14:paraId="33520831" w14:textId="77777777" w:rsidR="00CF6545" w:rsidRPr="0079073F" w:rsidRDefault="00CF6545" w:rsidP="00CF6545">
      <w:pPr>
        <w:shd w:val="clear" w:color="auto" w:fill="FFFFFF"/>
        <w:spacing w:before="120" w:after="120"/>
        <w:jc w:val="center"/>
        <w:rPr>
          <w:rFonts w:cs="Tahoma"/>
          <w:szCs w:val="18"/>
        </w:rPr>
      </w:pPr>
    </w:p>
    <w:p w14:paraId="6D1102DC" w14:textId="77777777" w:rsidR="00CF6545" w:rsidRPr="0079073F" w:rsidRDefault="00CF6545" w:rsidP="00CF6545">
      <w:pPr>
        <w:shd w:val="clear" w:color="auto" w:fill="FFFFFF"/>
        <w:spacing w:before="120" w:after="120"/>
        <w:jc w:val="center"/>
        <w:rPr>
          <w:rFonts w:cs="Tahoma"/>
          <w:szCs w:val="18"/>
        </w:rPr>
      </w:pPr>
    </w:p>
    <w:p w14:paraId="40A7A191" w14:textId="77777777" w:rsidR="00916627" w:rsidRPr="0079073F" w:rsidRDefault="00916627" w:rsidP="00CF6545">
      <w:pPr>
        <w:shd w:val="clear" w:color="auto" w:fill="FFFFFF"/>
        <w:spacing w:before="120" w:after="120"/>
        <w:jc w:val="center"/>
        <w:rPr>
          <w:rFonts w:cs="Tahoma"/>
          <w:szCs w:val="18"/>
        </w:rPr>
      </w:pPr>
    </w:p>
    <w:p w14:paraId="79EE0406" w14:textId="77777777" w:rsidR="00CF6545" w:rsidRPr="0079073F" w:rsidRDefault="00CF6545" w:rsidP="00CF6545">
      <w:pPr>
        <w:shd w:val="clear" w:color="auto" w:fill="FFFFFF"/>
        <w:spacing w:before="120" w:after="120"/>
        <w:jc w:val="center"/>
        <w:rPr>
          <w:rFonts w:cs="Tahoma"/>
          <w:szCs w:val="18"/>
        </w:rPr>
      </w:pPr>
    </w:p>
    <w:p w14:paraId="3B1D5DE7" w14:textId="77777777" w:rsidR="00CF6545" w:rsidRPr="0079073F" w:rsidRDefault="00CF6545" w:rsidP="00CF6545">
      <w:pPr>
        <w:shd w:val="clear" w:color="auto" w:fill="FFFFFF"/>
        <w:spacing w:before="120" w:after="120"/>
        <w:jc w:val="center"/>
        <w:rPr>
          <w:rFonts w:cs="Tahoma"/>
          <w:szCs w:val="18"/>
        </w:rPr>
      </w:pPr>
    </w:p>
    <w:p w14:paraId="70A84D58" w14:textId="77777777" w:rsidR="00CF6545" w:rsidRPr="0079073F" w:rsidRDefault="00CF6545" w:rsidP="00CF6545">
      <w:pPr>
        <w:shd w:val="clear" w:color="auto" w:fill="FFFFFF"/>
        <w:spacing w:before="120" w:after="120"/>
        <w:jc w:val="center"/>
        <w:rPr>
          <w:rFonts w:cs="Tahoma"/>
          <w:szCs w:val="18"/>
        </w:rPr>
      </w:pPr>
    </w:p>
    <w:p w14:paraId="03AC0E6D" w14:textId="77777777" w:rsidR="00CF6545" w:rsidRPr="0079073F" w:rsidRDefault="00CF6545" w:rsidP="00CF6545">
      <w:pPr>
        <w:shd w:val="clear" w:color="auto" w:fill="FFFFFF"/>
        <w:spacing w:before="120" w:after="120"/>
        <w:jc w:val="center"/>
        <w:rPr>
          <w:rFonts w:cs="Tahoma"/>
          <w:szCs w:val="18"/>
        </w:rPr>
      </w:pPr>
    </w:p>
    <w:p w14:paraId="7AB21CF9" w14:textId="77777777" w:rsidR="00CF6545" w:rsidRPr="0079073F" w:rsidRDefault="00CF6545" w:rsidP="00CF6545">
      <w:pPr>
        <w:shd w:val="clear" w:color="auto" w:fill="FFFFFF"/>
        <w:spacing w:before="120" w:after="120"/>
        <w:jc w:val="center"/>
        <w:rPr>
          <w:rFonts w:cs="Tahoma"/>
          <w:szCs w:val="18"/>
        </w:rPr>
      </w:pPr>
    </w:p>
    <w:p w14:paraId="1E0E7133" w14:textId="77777777" w:rsidR="00CF6545" w:rsidRPr="0079073F" w:rsidRDefault="00CF6545" w:rsidP="00CF6545">
      <w:pPr>
        <w:shd w:val="clear" w:color="auto" w:fill="FFFFFF"/>
        <w:spacing w:before="120" w:after="120"/>
        <w:jc w:val="center"/>
        <w:rPr>
          <w:rFonts w:cs="Tahoma"/>
          <w:szCs w:val="18"/>
        </w:rPr>
      </w:pPr>
    </w:p>
    <w:p w14:paraId="2B196501" w14:textId="77777777" w:rsidR="00CF6545" w:rsidRPr="0079073F" w:rsidRDefault="00CF6545" w:rsidP="00CF6545">
      <w:pPr>
        <w:shd w:val="clear" w:color="auto" w:fill="FFFFFF"/>
        <w:spacing w:before="120" w:after="120"/>
        <w:jc w:val="center"/>
        <w:rPr>
          <w:rFonts w:cs="Tahoma"/>
          <w:szCs w:val="18"/>
        </w:rPr>
      </w:pPr>
    </w:p>
    <w:p w14:paraId="0844A90A" w14:textId="530F7676" w:rsidR="00CF6545" w:rsidRPr="00372B15" w:rsidRDefault="00B15DF8" w:rsidP="00CF6545">
      <w:pPr>
        <w:spacing w:before="120" w:after="120"/>
        <w:jc w:val="center"/>
        <w:rPr>
          <w:rFonts w:cs="Tahoma"/>
          <w:szCs w:val="18"/>
        </w:rPr>
      </w:pPr>
      <w:r>
        <w:rPr>
          <w:rFonts w:cs="Tahoma"/>
          <w:szCs w:val="18"/>
        </w:rPr>
        <w:t>Limbaži</w:t>
      </w:r>
      <w:r w:rsidR="00CF6545" w:rsidRPr="0079073F">
        <w:rPr>
          <w:rFonts w:cs="Tahoma"/>
          <w:szCs w:val="18"/>
        </w:rPr>
        <w:t xml:space="preserve">, </w:t>
      </w:r>
      <w:r w:rsidR="00CF6545" w:rsidRPr="00372B15">
        <w:rPr>
          <w:rFonts w:cs="Tahoma"/>
          <w:szCs w:val="18"/>
        </w:rPr>
        <w:t>2</w:t>
      </w:r>
      <w:r w:rsidR="006750B6" w:rsidRPr="00372B15">
        <w:rPr>
          <w:rFonts w:cs="Tahoma"/>
          <w:szCs w:val="18"/>
        </w:rPr>
        <w:t>0</w:t>
      </w:r>
      <w:r w:rsidR="0093237F" w:rsidRPr="00372B15">
        <w:rPr>
          <w:rFonts w:cs="Tahoma"/>
          <w:szCs w:val="18"/>
        </w:rPr>
        <w:t>2</w:t>
      </w:r>
      <w:r w:rsidR="00BB1977">
        <w:rPr>
          <w:rFonts w:cs="Tahoma"/>
          <w:szCs w:val="18"/>
        </w:rPr>
        <w:t>2</w:t>
      </w:r>
      <w:r w:rsidR="00747CCE">
        <w:rPr>
          <w:rFonts w:cs="Tahoma"/>
          <w:szCs w:val="18"/>
        </w:rPr>
        <w:t>gada 25. jūlijā</w:t>
      </w:r>
    </w:p>
    <w:p w14:paraId="7D9B3BE8" w14:textId="77777777" w:rsidR="00610EB0" w:rsidRDefault="00610EB0" w:rsidP="00610EB0">
      <w:pPr>
        <w:spacing w:before="240" w:after="360"/>
        <w:rPr>
          <w:rFonts w:cs="Tahoma"/>
          <w:b/>
          <w:color w:val="575756"/>
          <w:szCs w:val="18"/>
        </w:rPr>
      </w:pPr>
    </w:p>
    <w:p w14:paraId="50AE919E" w14:textId="77777777" w:rsidR="00610EB0" w:rsidRDefault="00610EB0" w:rsidP="00610EB0">
      <w:pPr>
        <w:spacing w:before="240" w:after="360"/>
        <w:rPr>
          <w:rFonts w:cs="Tahoma"/>
          <w:b/>
          <w:color w:val="575756"/>
          <w:szCs w:val="18"/>
        </w:rPr>
      </w:pPr>
    </w:p>
    <w:p w14:paraId="4F30DAEC" w14:textId="77777777" w:rsidR="00610EB0" w:rsidRDefault="00610EB0" w:rsidP="00610EB0">
      <w:pPr>
        <w:spacing w:before="240" w:after="360"/>
        <w:rPr>
          <w:rFonts w:cs="Tahoma"/>
          <w:b/>
          <w:color w:val="575756"/>
          <w:szCs w:val="18"/>
        </w:rPr>
      </w:pPr>
    </w:p>
    <w:p w14:paraId="4F16EA04" w14:textId="54154625" w:rsidR="00610EB0" w:rsidRDefault="00610EB0" w:rsidP="00610EB0">
      <w:pPr>
        <w:spacing w:before="240" w:after="360"/>
        <w:rPr>
          <w:rFonts w:cs="Tahoma"/>
          <w:b/>
          <w:color w:val="575756"/>
          <w:szCs w:val="18"/>
        </w:rPr>
      </w:pPr>
      <w:r>
        <w:rPr>
          <w:rFonts w:cs="Tahoma"/>
          <w:b/>
          <w:color w:val="575756"/>
          <w:szCs w:val="18"/>
        </w:rPr>
        <w:t>SATURS</w:t>
      </w:r>
    </w:p>
    <w:p w14:paraId="3D1C8CAC" w14:textId="29858696" w:rsidR="00610EB0" w:rsidRDefault="00610EB0" w:rsidP="00610EB0">
      <w:pPr>
        <w:pStyle w:val="Saturs1"/>
        <w:rPr>
          <w:rFonts w:ascii="Calibri" w:eastAsia="Times New Roman" w:hAnsi="Calibri"/>
          <w:noProof/>
        </w:rPr>
      </w:pPr>
      <w:r>
        <w:rPr>
          <w:rFonts w:cs="Tahoma"/>
        </w:rPr>
        <w:fldChar w:fldCharType="begin"/>
      </w:r>
      <w:r>
        <w:rPr>
          <w:rFonts w:cs="Tahoma"/>
        </w:rPr>
        <w:instrText xml:space="preserve"> TOC \o "1-3" \h \z \u </w:instrText>
      </w:r>
      <w:r>
        <w:rPr>
          <w:rFonts w:cs="Tahoma"/>
        </w:rPr>
        <w:fldChar w:fldCharType="separate"/>
      </w:r>
      <w:r>
        <w:rPr>
          <w:rFonts w:cs="Tahoma"/>
        </w:rPr>
        <w:t>Bilance…………………………………………………..…………………………………………………………………………………………………</w:t>
      </w:r>
      <w:r w:rsidR="00937880">
        <w:rPr>
          <w:rFonts w:cs="Tahoma"/>
        </w:rPr>
        <w:t>3</w:t>
      </w:r>
    </w:p>
    <w:p w14:paraId="0B4D6792" w14:textId="58AA9C69" w:rsidR="00610EB0" w:rsidRDefault="00000000" w:rsidP="00610EB0">
      <w:pPr>
        <w:pStyle w:val="Saturs1"/>
        <w:rPr>
          <w:noProof/>
        </w:rPr>
      </w:pPr>
      <w:hyperlink r:id="rId9" w:anchor="_Toc473130134" w:history="1">
        <w:r w:rsidR="00610EB0">
          <w:rPr>
            <w:rStyle w:val="Hipersaite"/>
            <w:rFonts w:cs="Tahoma"/>
            <w:noProof/>
            <w:szCs w:val="18"/>
          </w:rPr>
          <w:t>Peļņas vai zaudējumu aprēķins</w:t>
        </w:r>
        <w:r w:rsidR="00610EB0">
          <w:rPr>
            <w:rStyle w:val="Hipersaite"/>
            <w:noProof/>
            <w:webHidden/>
          </w:rPr>
          <w:tab/>
        </w:r>
      </w:hyperlink>
      <w:r w:rsidR="00937880">
        <w:t>5</w:t>
      </w:r>
    </w:p>
    <w:p w14:paraId="338B11A6" w14:textId="7DBA017E" w:rsidR="00610EB0" w:rsidRDefault="00610EB0" w:rsidP="00610EB0">
      <w:pPr>
        <w:spacing w:after="0"/>
        <w:jc w:val="both"/>
      </w:pPr>
      <w:r>
        <w:t>Naudas plūsmas pārskats...........................................................................................................</w:t>
      </w:r>
      <w:r w:rsidR="00937880">
        <w:t>.</w:t>
      </w:r>
      <w:r>
        <w:t>...................</w:t>
      </w:r>
      <w:r w:rsidR="00937880">
        <w:t>6</w:t>
      </w:r>
    </w:p>
    <w:p w14:paraId="7930DD53" w14:textId="584582DB" w:rsidR="00610EB0" w:rsidRDefault="00610EB0" w:rsidP="00610EB0">
      <w:pPr>
        <w:spacing w:after="0"/>
        <w:jc w:val="both"/>
      </w:pPr>
      <w:r>
        <w:t>Pašu kapitāla izmaiņu pārskats.......................................................................................................................</w:t>
      </w:r>
      <w:r w:rsidR="00937880">
        <w:t>7</w:t>
      </w:r>
    </w:p>
    <w:p w14:paraId="62A7B90E" w14:textId="79651508" w:rsidR="00610EB0" w:rsidRDefault="00000000" w:rsidP="00610EB0">
      <w:pPr>
        <w:pStyle w:val="Saturs1"/>
        <w:rPr>
          <w:rFonts w:ascii="Calibri" w:eastAsia="Times New Roman" w:hAnsi="Calibri"/>
          <w:noProof/>
          <w:szCs w:val="18"/>
        </w:rPr>
      </w:pPr>
      <w:hyperlink r:id="rId10" w:anchor="_Toc473130137" w:history="1">
        <w:r w:rsidR="00610EB0">
          <w:rPr>
            <w:rStyle w:val="Hipersaite"/>
            <w:rFonts w:cs="Tahoma"/>
            <w:noProof/>
            <w:szCs w:val="18"/>
          </w:rPr>
          <w:t>Informācija par Sabiedrību</w:t>
        </w:r>
        <w:r w:rsidR="00610EB0">
          <w:rPr>
            <w:rStyle w:val="Hipersaite"/>
            <w:noProof/>
            <w:webHidden/>
            <w:szCs w:val="18"/>
          </w:rPr>
          <w:tab/>
        </w:r>
        <w:r w:rsidR="00937880">
          <w:rPr>
            <w:rStyle w:val="Hipersaite"/>
            <w:noProof/>
            <w:webHidden/>
            <w:szCs w:val="18"/>
          </w:rPr>
          <w:t>8</w:t>
        </w:r>
      </w:hyperlink>
    </w:p>
    <w:p w14:paraId="57732A52" w14:textId="2406863D" w:rsidR="00610EB0" w:rsidRDefault="00000000" w:rsidP="00610EB0">
      <w:pPr>
        <w:pStyle w:val="Saturs1"/>
        <w:rPr>
          <w:rStyle w:val="Hipersaite"/>
        </w:rPr>
      </w:pPr>
      <w:hyperlink r:id="rId11" w:anchor="_Toc473130138" w:history="1">
        <w:r w:rsidR="00610EB0">
          <w:rPr>
            <w:rStyle w:val="Hipersaite"/>
            <w:rFonts w:cs="Tahoma"/>
            <w:noProof/>
            <w:szCs w:val="18"/>
          </w:rPr>
          <w:t>Vadības ziņojums</w:t>
        </w:r>
        <w:r w:rsidR="00610EB0">
          <w:rPr>
            <w:rStyle w:val="Hipersaite"/>
            <w:noProof/>
            <w:webHidden/>
          </w:rPr>
          <w:tab/>
          <w:t>....</w:t>
        </w:r>
        <w:r w:rsidR="00937880">
          <w:rPr>
            <w:rStyle w:val="Hipersaite"/>
            <w:noProof/>
            <w:webHidden/>
          </w:rPr>
          <w:t>9</w:t>
        </w:r>
      </w:hyperlink>
    </w:p>
    <w:p w14:paraId="782B7CA1" w14:textId="77777777" w:rsidR="00610EB0" w:rsidRDefault="00610EB0" w:rsidP="00610EB0"/>
    <w:p w14:paraId="22A8BB7F" w14:textId="37591B75" w:rsidR="00421CEF" w:rsidRDefault="00610EB0" w:rsidP="00610EB0">
      <w:pPr>
        <w:spacing w:before="240" w:after="360"/>
        <w:rPr>
          <w:szCs w:val="18"/>
        </w:rPr>
      </w:pPr>
      <w:r>
        <w:rPr>
          <w:rFonts w:cs="Tahoma"/>
          <w:b/>
          <w:bCs/>
          <w:noProof/>
          <w:szCs w:val="18"/>
        </w:rPr>
        <w:fldChar w:fldCharType="end"/>
      </w:r>
      <w:r w:rsidR="00CF6545" w:rsidRPr="0079073F">
        <w:rPr>
          <w:rFonts w:cs="Tahoma"/>
          <w:szCs w:val="18"/>
        </w:rPr>
        <w:br w:type="page"/>
      </w:r>
      <w:bookmarkStart w:id="0" w:name="_Toc473130133"/>
    </w:p>
    <w:p w14:paraId="3E2DBBD9" w14:textId="77777777" w:rsidR="00AE55FB" w:rsidRPr="00A84647" w:rsidRDefault="00C9681F" w:rsidP="00F878BD">
      <w:pPr>
        <w:pStyle w:val="Virsraksts1"/>
        <w:spacing w:after="360"/>
        <w:rPr>
          <w:rFonts w:cs="Tahoma"/>
          <w:sz w:val="18"/>
          <w:szCs w:val="18"/>
        </w:rPr>
      </w:pPr>
      <w:r w:rsidRPr="00A84647">
        <w:rPr>
          <w:rFonts w:ascii="Tahoma" w:hAnsi="Tahoma" w:cs="Tahoma"/>
          <w:color w:val="575756"/>
          <w:sz w:val="18"/>
          <w:szCs w:val="18"/>
        </w:rPr>
        <w:lastRenderedPageBreak/>
        <w:t>Bilance</w:t>
      </w:r>
      <w:bookmarkEnd w:id="0"/>
    </w:p>
    <w:bookmarkStart w:id="1" w:name="_MON_1220851168"/>
    <w:bookmarkStart w:id="2" w:name="_MON_1220851372"/>
    <w:bookmarkStart w:id="3" w:name="_MON_1222785281"/>
    <w:bookmarkStart w:id="4" w:name="_MON_1234082330"/>
    <w:bookmarkStart w:id="5" w:name="_MON_1231327194"/>
    <w:bookmarkStart w:id="6" w:name="_MON_1236435145"/>
    <w:bookmarkStart w:id="7" w:name="_MON_1236435392"/>
    <w:bookmarkStart w:id="8" w:name="_MON_1236522258"/>
    <w:bookmarkStart w:id="9" w:name="_MON_1236522650"/>
    <w:bookmarkStart w:id="10" w:name="_MON_1236522724"/>
    <w:bookmarkStart w:id="11" w:name="_MON_1236971107"/>
    <w:bookmarkStart w:id="12" w:name="_MON_1237802478"/>
    <w:bookmarkStart w:id="13" w:name="_MON_1237803215"/>
    <w:bookmarkStart w:id="14" w:name="_MON_1237803375"/>
    <w:bookmarkStart w:id="15" w:name="_MON_1237803421"/>
    <w:bookmarkStart w:id="16" w:name="_MON_1237804482"/>
    <w:bookmarkStart w:id="17" w:name="_MON_1237804522"/>
    <w:bookmarkStart w:id="18" w:name="_MON_1237805951"/>
    <w:bookmarkStart w:id="19" w:name="_MON_1237974695"/>
    <w:bookmarkStart w:id="20" w:name="_MON_1237974772"/>
    <w:bookmarkStart w:id="21" w:name="_MON_1237974808"/>
    <w:bookmarkStart w:id="22" w:name="_MON_1237975453"/>
    <w:bookmarkStart w:id="23" w:name="_MON_1237976421"/>
    <w:bookmarkStart w:id="24" w:name="_MON_1231335636"/>
    <w:bookmarkStart w:id="25" w:name="_MON_1231335832"/>
    <w:bookmarkStart w:id="26" w:name="_MON_1238159094"/>
    <w:bookmarkStart w:id="27" w:name="_MON_1238160353"/>
    <w:bookmarkStart w:id="28" w:name="_MON_1238161112"/>
    <w:bookmarkStart w:id="29" w:name="_MON_1238161732"/>
    <w:bookmarkStart w:id="30" w:name="_MON_1238285524"/>
    <w:bookmarkStart w:id="31" w:name="_MON_1238285894"/>
    <w:bookmarkStart w:id="32" w:name="_MON_1238286502"/>
    <w:bookmarkStart w:id="33" w:name="_MON_1238288512"/>
    <w:bookmarkStart w:id="34" w:name="_MON_1238288655"/>
    <w:bookmarkStart w:id="35" w:name="_MON_1238288708"/>
    <w:bookmarkStart w:id="36" w:name="_MON_1238404359"/>
    <w:bookmarkStart w:id="37" w:name="_MON_1238412157"/>
    <w:bookmarkStart w:id="38" w:name="_MON_1238412186"/>
    <w:bookmarkStart w:id="39" w:name="_MON_1238414452"/>
    <w:bookmarkStart w:id="40" w:name="_MON_1238442625"/>
    <w:bookmarkStart w:id="41" w:name="_MON_1238443394"/>
    <w:bookmarkStart w:id="42" w:name="_MON_1238443660"/>
    <w:bookmarkStart w:id="43" w:name="_MON_1238493841"/>
    <w:bookmarkStart w:id="44" w:name="_MON_1238493899"/>
    <w:bookmarkStart w:id="45" w:name="_MON_1238497316"/>
    <w:bookmarkStart w:id="46" w:name="_MON_1238497378"/>
    <w:bookmarkStart w:id="47" w:name="_MON_1238497781"/>
    <w:bookmarkStart w:id="48" w:name="_MON_1238518901"/>
    <w:bookmarkStart w:id="49" w:name="_MON_1238674995"/>
    <w:bookmarkStart w:id="50" w:name="_MON_1238690667"/>
    <w:bookmarkStart w:id="51" w:name="_MON_1238826629"/>
    <w:bookmarkStart w:id="52" w:name="_MON_1239005598"/>
    <w:bookmarkStart w:id="53" w:name="_MON_1239015546"/>
    <w:bookmarkStart w:id="54" w:name="_MON_1239015633"/>
    <w:bookmarkStart w:id="55" w:name="_MON_1239015694"/>
    <w:bookmarkStart w:id="56" w:name="_MON_1239015834"/>
    <w:bookmarkStart w:id="57" w:name="_MON_1239015896"/>
    <w:bookmarkStart w:id="58" w:name="_MON_1239018301"/>
    <w:bookmarkStart w:id="59" w:name="_MON_1266322868"/>
    <w:bookmarkStart w:id="60" w:name="_MON_1266323089"/>
    <w:bookmarkStart w:id="61" w:name="_MON_1266734863"/>
    <w:bookmarkStart w:id="62" w:name="_MON_1266837942"/>
    <w:bookmarkStart w:id="63" w:name="_MON_1268839905"/>
    <w:bookmarkStart w:id="64" w:name="_MON_1268839916"/>
    <w:bookmarkStart w:id="65" w:name="_MON_1269091559"/>
    <w:bookmarkStart w:id="66" w:name="_MON_1269256175"/>
    <w:bookmarkStart w:id="67" w:name="_MON_1269415214"/>
    <w:bookmarkStart w:id="68" w:name="_MON_1269431141"/>
    <w:bookmarkStart w:id="69" w:name="_MON_1269431297"/>
    <w:bookmarkStart w:id="70" w:name="_MON_1269434670"/>
    <w:bookmarkStart w:id="71" w:name="_MON_1269447967"/>
    <w:bookmarkStart w:id="72" w:name="_MON_1269521861"/>
    <w:bookmarkStart w:id="73" w:name="_MON_1298705277"/>
    <w:bookmarkStart w:id="74" w:name="_MON_1299067432"/>
    <w:bookmarkStart w:id="75" w:name="_MON_1299068228"/>
    <w:bookmarkStart w:id="76" w:name="_MON_1299073769"/>
    <w:bookmarkStart w:id="77" w:name="_MON_1299074271"/>
    <w:bookmarkStart w:id="78" w:name="_MON_1299074350"/>
    <w:bookmarkStart w:id="79" w:name="_MON_1299074576"/>
    <w:bookmarkStart w:id="80" w:name="_MON_1299076472"/>
    <w:bookmarkStart w:id="81" w:name="_MON_1299323808"/>
    <w:bookmarkStart w:id="82" w:name="_MON_1299324379"/>
    <w:bookmarkStart w:id="83" w:name="_MON_1299325616"/>
    <w:bookmarkStart w:id="84" w:name="_MON_1299325915"/>
    <w:bookmarkStart w:id="85" w:name="_MON_1299486229"/>
    <w:bookmarkStart w:id="86" w:name="_MON_1299566847"/>
    <w:bookmarkStart w:id="87" w:name="_MON_1301730112"/>
    <w:bookmarkStart w:id="88" w:name="_MON_1301806867"/>
    <w:bookmarkStart w:id="89" w:name="_MON_1329916954"/>
    <w:bookmarkStart w:id="90" w:name="_MON_1330177574"/>
    <w:bookmarkStart w:id="91" w:name="_MON_1330247824"/>
    <w:bookmarkStart w:id="92" w:name="_MON_1330248011"/>
    <w:bookmarkStart w:id="93" w:name="_MON_1330269594"/>
    <w:bookmarkStart w:id="94" w:name="_MON_1330320182"/>
    <w:bookmarkStart w:id="95" w:name="_MON_1330337784"/>
    <w:bookmarkStart w:id="96" w:name="_MON_1330346031"/>
    <w:bookmarkStart w:id="97" w:name="_MON_1330353823"/>
    <w:bookmarkStart w:id="98" w:name="_MON_1330354404"/>
    <w:bookmarkStart w:id="99" w:name="_MON_1330356802"/>
    <w:bookmarkStart w:id="100" w:name="_MON_1330409089"/>
    <w:bookmarkStart w:id="101" w:name="_MON_1330439905"/>
    <w:bookmarkStart w:id="102" w:name="_MON_1330442803"/>
    <w:bookmarkStart w:id="103" w:name="_MON_1331470865"/>
    <w:bookmarkStart w:id="104" w:name="_MON_1331972559"/>
    <w:bookmarkStart w:id="105" w:name="_MON_1362909200"/>
    <w:bookmarkStart w:id="106" w:name="_MON_1364898130"/>
    <w:bookmarkStart w:id="107" w:name="_MON_1364992617"/>
    <w:bookmarkStart w:id="108" w:name="_MON_1365230962"/>
    <w:bookmarkStart w:id="109" w:name="_MON_1365249767"/>
    <w:bookmarkStart w:id="110" w:name="_MON_1365348123"/>
    <w:bookmarkStart w:id="111" w:name="_MON_1384085741"/>
    <w:bookmarkStart w:id="112" w:name="_MON_1396167286"/>
    <w:bookmarkStart w:id="113" w:name="_MON_1396253379"/>
    <w:bookmarkStart w:id="114" w:name="_MON_1396253475"/>
    <w:bookmarkStart w:id="115" w:name="_MON_1420464938"/>
    <w:bookmarkStart w:id="116" w:name="_MON_1428234142"/>
    <w:bookmarkStart w:id="117" w:name="_MON_1428234287"/>
    <w:bookmarkStart w:id="118" w:name="_MON_1428234292"/>
    <w:bookmarkStart w:id="119" w:name="_MON_1428236224"/>
    <w:bookmarkStart w:id="120" w:name="_MON_1428303249"/>
    <w:bookmarkStart w:id="121" w:name="_MON_1428306675"/>
    <w:bookmarkStart w:id="122" w:name="_MON_1428307322"/>
    <w:bookmarkStart w:id="123" w:name="_MON_1428312581"/>
    <w:bookmarkStart w:id="124" w:name="_MON_1428400343"/>
    <w:bookmarkStart w:id="125" w:name="_MON_1457155438"/>
    <w:bookmarkStart w:id="126" w:name="_MON_1457155706"/>
    <w:bookmarkStart w:id="127" w:name="_MON_1457155733"/>
    <w:bookmarkStart w:id="128" w:name="_MON_1457155750"/>
    <w:bookmarkStart w:id="129" w:name="_MON_1457155767"/>
    <w:bookmarkStart w:id="130" w:name="_MON_1457158527"/>
    <w:bookmarkStart w:id="131" w:name="_MON_1457158576"/>
    <w:bookmarkStart w:id="132" w:name="_MON_1457170576"/>
    <w:bookmarkStart w:id="133" w:name="_MON_1457172334"/>
    <w:bookmarkStart w:id="134" w:name="_MON_1473687551"/>
    <w:bookmarkStart w:id="135" w:name="_MON_1473687936"/>
    <w:bookmarkStart w:id="136" w:name="_MON_1473687955"/>
    <w:bookmarkStart w:id="137" w:name="_MON_1473687981"/>
    <w:bookmarkStart w:id="138" w:name="_MON_1475931078"/>
    <w:bookmarkStart w:id="139" w:name="_MON_1475931484"/>
    <w:bookmarkStart w:id="140" w:name="_MON_1475933768"/>
    <w:bookmarkStart w:id="141" w:name="_MON_1475933835"/>
    <w:bookmarkStart w:id="142" w:name="_MON_1475933842"/>
    <w:bookmarkStart w:id="143" w:name="_MON_1475933849"/>
    <w:bookmarkStart w:id="144" w:name="_MON_1475933865"/>
    <w:bookmarkStart w:id="145" w:name="_MON_1475933869"/>
    <w:bookmarkStart w:id="146" w:name="_MON_1475933879"/>
    <w:bookmarkStart w:id="147" w:name="_MON_1475933885"/>
    <w:bookmarkStart w:id="148" w:name="_MON_1475933892"/>
    <w:bookmarkStart w:id="149" w:name="_MON_1475933899"/>
    <w:bookmarkStart w:id="150" w:name="_MON_1475933909"/>
    <w:bookmarkStart w:id="151" w:name="_MON_1475933934"/>
    <w:bookmarkStart w:id="152" w:name="_MON_1475933960"/>
    <w:bookmarkStart w:id="153" w:name="_MON_1490624253"/>
    <w:bookmarkStart w:id="154" w:name="_MON_1491044225"/>
    <w:bookmarkStart w:id="155" w:name="_MON_1491045421"/>
    <w:bookmarkStart w:id="156" w:name="_MON_1491049944"/>
    <w:bookmarkStart w:id="157" w:name="_MON_1491050276"/>
    <w:bookmarkStart w:id="158" w:name="_MON_1491050758"/>
    <w:bookmarkStart w:id="159" w:name="_MON_1491051788"/>
    <w:bookmarkStart w:id="160" w:name="_MON_1491051832"/>
    <w:bookmarkStart w:id="161" w:name="_MON_1491143911"/>
    <w:bookmarkStart w:id="162" w:name="_MON_1110290742"/>
    <w:bookmarkStart w:id="163" w:name="_MON_1197983229"/>
    <w:bookmarkStart w:id="164" w:name="_MON_1197983453"/>
    <w:bookmarkStart w:id="165" w:name="_MON_1197984306"/>
    <w:bookmarkStart w:id="166" w:name="_MON_1197984335"/>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Start w:id="167" w:name="_MON_1197984409"/>
    <w:bookmarkEnd w:id="167"/>
    <w:p w14:paraId="6B1314B0" w14:textId="36AB61EA" w:rsidR="0004391F" w:rsidRDefault="006C6A71" w:rsidP="00984307">
      <w:pPr>
        <w:rPr>
          <w:rFonts w:ascii="Arial Narrow" w:hAnsi="Arial Narrow"/>
          <w:szCs w:val="18"/>
        </w:rPr>
      </w:pPr>
      <w:r w:rsidRPr="001A42A9">
        <w:rPr>
          <w:rFonts w:ascii="Arial Narrow" w:hAnsi="Arial Narrow"/>
          <w:szCs w:val="18"/>
        </w:rPr>
        <w:object w:dxaOrig="10723" w:dyaOrig="10194" w14:anchorId="453A80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4.75pt;height:417.75pt" o:ole="" fillcolor="window">
            <v:imagedata r:id="rId12" o:title=""/>
          </v:shape>
          <o:OLEObject Type="Embed" ProgID="Excel.Sheet.8" ShapeID="_x0000_i1025" DrawAspect="Content" ObjectID="_1735982605" r:id="rId13"/>
        </w:object>
      </w:r>
    </w:p>
    <w:p w14:paraId="581C483E" w14:textId="77777777" w:rsidR="0004391F" w:rsidRPr="00984307" w:rsidRDefault="0004391F" w:rsidP="00984307">
      <w:pPr>
        <w:rPr>
          <w:rFonts w:ascii="Arial Narrow" w:hAnsi="Arial Narrow"/>
          <w:szCs w:val="18"/>
        </w:rPr>
      </w:pPr>
    </w:p>
    <w:p w14:paraId="11E6229E" w14:textId="77777777" w:rsidR="00887DB2" w:rsidRPr="00C76B2E" w:rsidRDefault="00887DB2" w:rsidP="00472B94">
      <w:pPr>
        <w:spacing w:before="120" w:after="120"/>
        <w:jc w:val="both"/>
        <w:rPr>
          <w:rFonts w:cs="Tahoma"/>
          <w:szCs w:val="18"/>
        </w:rPr>
      </w:pPr>
    </w:p>
    <w:p w14:paraId="44CABAB9" w14:textId="77777777" w:rsidR="00887DB2" w:rsidRPr="00A84647" w:rsidRDefault="00887DB2" w:rsidP="00472B94">
      <w:pPr>
        <w:spacing w:before="120" w:after="120"/>
        <w:jc w:val="both"/>
        <w:rPr>
          <w:rFonts w:cs="Tahoma"/>
          <w:szCs w:val="18"/>
        </w:rPr>
      </w:pPr>
    </w:p>
    <w:tbl>
      <w:tblPr>
        <w:tblW w:w="8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567"/>
        <w:gridCol w:w="2330"/>
        <w:gridCol w:w="567"/>
        <w:gridCol w:w="2330"/>
      </w:tblGrid>
      <w:tr w:rsidR="00170082" w:rsidRPr="00A84647" w14:paraId="18389B99" w14:textId="77777777" w:rsidTr="00747CCE">
        <w:tc>
          <w:tcPr>
            <w:tcW w:w="2694" w:type="dxa"/>
            <w:tcBorders>
              <w:top w:val="nil"/>
              <w:left w:val="nil"/>
              <w:bottom w:val="nil"/>
              <w:right w:val="nil"/>
            </w:tcBorders>
            <w:shd w:val="clear" w:color="auto" w:fill="auto"/>
          </w:tcPr>
          <w:p w14:paraId="306A354F" w14:textId="77777777" w:rsidR="00170082" w:rsidRPr="00A84647" w:rsidRDefault="00170082" w:rsidP="00170082">
            <w:pPr>
              <w:spacing w:after="0"/>
              <w:jc w:val="center"/>
              <w:rPr>
                <w:rFonts w:cs="Tahoma"/>
                <w:szCs w:val="18"/>
              </w:rPr>
            </w:pPr>
          </w:p>
        </w:tc>
        <w:tc>
          <w:tcPr>
            <w:tcW w:w="567" w:type="dxa"/>
            <w:tcBorders>
              <w:top w:val="nil"/>
              <w:left w:val="nil"/>
              <w:bottom w:val="nil"/>
              <w:right w:val="nil"/>
            </w:tcBorders>
          </w:tcPr>
          <w:p w14:paraId="758BD2F7" w14:textId="77777777" w:rsidR="00170082" w:rsidRPr="00A84647" w:rsidRDefault="00170082" w:rsidP="00170082">
            <w:pPr>
              <w:spacing w:after="0"/>
              <w:jc w:val="center"/>
              <w:rPr>
                <w:rFonts w:cs="Tahoma"/>
                <w:szCs w:val="18"/>
              </w:rPr>
            </w:pPr>
          </w:p>
        </w:tc>
        <w:tc>
          <w:tcPr>
            <w:tcW w:w="2330" w:type="dxa"/>
            <w:tcBorders>
              <w:top w:val="nil"/>
              <w:left w:val="nil"/>
              <w:bottom w:val="nil"/>
              <w:right w:val="nil"/>
            </w:tcBorders>
          </w:tcPr>
          <w:p w14:paraId="10294193" w14:textId="77777777" w:rsidR="00170082" w:rsidRPr="00A84647" w:rsidRDefault="00170082" w:rsidP="00170082">
            <w:pPr>
              <w:spacing w:after="0"/>
              <w:jc w:val="center"/>
              <w:rPr>
                <w:rFonts w:cs="Tahoma"/>
                <w:szCs w:val="18"/>
              </w:rPr>
            </w:pPr>
          </w:p>
        </w:tc>
        <w:tc>
          <w:tcPr>
            <w:tcW w:w="567" w:type="dxa"/>
            <w:tcBorders>
              <w:top w:val="nil"/>
              <w:left w:val="nil"/>
              <w:bottom w:val="nil"/>
              <w:right w:val="nil"/>
            </w:tcBorders>
          </w:tcPr>
          <w:p w14:paraId="19C550FD" w14:textId="77777777" w:rsidR="00170082" w:rsidRPr="00A84647" w:rsidRDefault="00170082" w:rsidP="00984307">
            <w:pPr>
              <w:spacing w:after="0"/>
              <w:rPr>
                <w:rFonts w:cs="Tahoma"/>
                <w:szCs w:val="18"/>
              </w:rPr>
            </w:pPr>
          </w:p>
        </w:tc>
        <w:tc>
          <w:tcPr>
            <w:tcW w:w="2330" w:type="dxa"/>
            <w:tcBorders>
              <w:top w:val="nil"/>
              <w:left w:val="nil"/>
              <w:bottom w:val="nil"/>
              <w:right w:val="nil"/>
            </w:tcBorders>
          </w:tcPr>
          <w:p w14:paraId="41C0B04F" w14:textId="77777777" w:rsidR="00170082" w:rsidRPr="00A84647" w:rsidRDefault="00170082" w:rsidP="00170082">
            <w:pPr>
              <w:spacing w:after="0"/>
              <w:jc w:val="center"/>
              <w:rPr>
                <w:rFonts w:cs="Tahoma"/>
                <w:szCs w:val="18"/>
              </w:rPr>
            </w:pPr>
          </w:p>
        </w:tc>
      </w:tr>
      <w:tr w:rsidR="00170082" w:rsidRPr="00A84647" w14:paraId="30262B66" w14:textId="77777777" w:rsidTr="00747CCE">
        <w:tc>
          <w:tcPr>
            <w:tcW w:w="2694" w:type="dxa"/>
            <w:tcBorders>
              <w:top w:val="nil"/>
              <w:left w:val="nil"/>
              <w:bottom w:val="nil"/>
              <w:right w:val="nil"/>
            </w:tcBorders>
            <w:shd w:val="clear" w:color="auto" w:fill="auto"/>
          </w:tcPr>
          <w:p w14:paraId="4EB5E857" w14:textId="2AB66826" w:rsidR="00170082" w:rsidRPr="00A84647" w:rsidRDefault="00170082" w:rsidP="005F071A">
            <w:pPr>
              <w:spacing w:after="0"/>
              <w:jc w:val="center"/>
              <w:rPr>
                <w:rFonts w:cs="Tahoma"/>
                <w:szCs w:val="18"/>
              </w:rPr>
            </w:pPr>
          </w:p>
        </w:tc>
        <w:tc>
          <w:tcPr>
            <w:tcW w:w="567" w:type="dxa"/>
            <w:tcBorders>
              <w:top w:val="nil"/>
              <w:left w:val="nil"/>
              <w:bottom w:val="nil"/>
              <w:right w:val="nil"/>
            </w:tcBorders>
          </w:tcPr>
          <w:p w14:paraId="339F2E71" w14:textId="77777777" w:rsidR="00170082" w:rsidRPr="00A84647" w:rsidRDefault="00170082" w:rsidP="00170082">
            <w:pPr>
              <w:spacing w:after="0"/>
              <w:jc w:val="center"/>
              <w:rPr>
                <w:rFonts w:cs="Tahoma"/>
                <w:szCs w:val="18"/>
              </w:rPr>
            </w:pPr>
          </w:p>
        </w:tc>
        <w:tc>
          <w:tcPr>
            <w:tcW w:w="2330" w:type="dxa"/>
            <w:tcBorders>
              <w:top w:val="nil"/>
              <w:left w:val="nil"/>
              <w:bottom w:val="nil"/>
              <w:right w:val="nil"/>
            </w:tcBorders>
          </w:tcPr>
          <w:p w14:paraId="7CC580E9" w14:textId="77777777" w:rsidR="00170082" w:rsidRPr="00A84647" w:rsidRDefault="00170082" w:rsidP="00170082">
            <w:pPr>
              <w:spacing w:after="0"/>
              <w:jc w:val="center"/>
              <w:rPr>
                <w:rFonts w:cs="Tahoma"/>
                <w:szCs w:val="18"/>
              </w:rPr>
            </w:pPr>
          </w:p>
        </w:tc>
        <w:tc>
          <w:tcPr>
            <w:tcW w:w="567" w:type="dxa"/>
            <w:tcBorders>
              <w:top w:val="nil"/>
              <w:left w:val="nil"/>
              <w:bottom w:val="nil"/>
              <w:right w:val="nil"/>
            </w:tcBorders>
          </w:tcPr>
          <w:p w14:paraId="3FEF5F02" w14:textId="77777777" w:rsidR="00170082" w:rsidRPr="00A84647" w:rsidRDefault="00170082" w:rsidP="00170082">
            <w:pPr>
              <w:spacing w:after="0"/>
              <w:jc w:val="center"/>
              <w:rPr>
                <w:rFonts w:cs="Tahoma"/>
                <w:szCs w:val="18"/>
              </w:rPr>
            </w:pPr>
          </w:p>
        </w:tc>
        <w:tc>
          <w:tcPr>
            <w:tcW w:w="2330" w:type="dxa"/>
            <w:tcBorders>
              <w:top w:val="nil"/>
              <w:left w:val="nil"/>
              <w:bottom w:val="nil"/>
              <w:right w:val="nil"/>
            </w:tcBorders>
          </w:tcPr>
          <w:p w14:paraId="5D1CAD03" w14:textId="13407432" w:rsidR="00170082" w:rsidRPr="00A84647" w:rsidRDefault="00170082" w:rsidP="005F071A">
            <w:pPr>
              <w:spacing w:after="0"/>
              <w:jc w:val="center"/>
              <w:rPr>
                <w:rFonts w:cs="Tahoma"/>
                <w:szCs w:val="18"/>
              </w:rPr>
            </w:pPr>
          </w:p>
        </w:tc>
      </w:tr>
      <w:tr w:rsidR="00170082" w:rsidRPr="00A84647" w14:paraId="53EEE7C3" w14:textId="77777777" w:rsidTr="002B726B">
        <w:tc>
          <w:tcPr>
            <w:tcW w:w="2694" w:type="dxa"/>
            <w:tcBorders>
              <w:top w:val="nil"/>
              <w:left w:val="nil"/>
              <w:bottom w:val="nil"/>
              <w:right w:val="nil"/>
            </w:tcBorders>
            <w:shd w:val="clear" w:color="auto" w:fill="auto"/>
          </w:tcPr>
          <w:p w14:paraId="435BC3B1" w14:textId="7B8409A1" w:rsidR="00170082" w:rsidRPr="00A84647" w:rsidRDefault="00170082" w:rsidP="005F071A">
            <w:pPr>
              <w:spacing w:after="0"/>
              <w:jc w:val="center"/>
              <w:rPr>
                <w:rFonts w:cs="Tahoma"/>
                <w:szCs w:val="18"/>
              </w:rPr>
            </w:pPr>
          </w:p>
        </w:tc>
        <w:tc>
          <w:tcPr>
            <w:tcW w:w="567" w:type="dxa"/>
            <w:tcBorders>
              <w:top w:val="nil"/>
              <w:left w:val="nil"/>
              <w:bottom w:val="nil"/>
              <w:right w:val="nil"/>
            </w:tcBorders>
          </w:tcPr>
          <w:p w14:paraId="326F3CC3" w14:textId="77777777" w:rsidR="00170082" w:rsidRPr="00A84647" w:rsidRDefault="00170082" w:rsidP="00170082">
            <w:pPr>
              <w:spacing w:after="0"/>
              <w:jc w:val="center"/>
              <w:rPr>
                <w:rFonts w:cs="Tahoma"/>
                <w:szCs w:val="18"/>
              </w:rPr>
            </w:pPr>
          </w:p>
        </w:tc>
        <w:tc>
          <w:tcPr>
            <w:tcW w:w="2330" w:type="dxa"/>
            <w:tcBorders>
              <w:top w:val="nil"/>
              <w:left w:val="nil"/>
              <w:bottom w:val="nil"/>
              <w:right w:val="nil"/>
            </w:tcBorders>
          </w:tcPr>
          <w:p w14:paraId="707AC80C" w14:textId="77777777" w:rsidR="00170082" w:rsidRPr="00A84647" w:rsidRDefault="00170082" w:rsidP="00170082">
            <w:pPr>
              <w:spacing w:after="0"/>
              <w:jc w:val="center"/>
              <w:rPr>
                <w:rFonts w:cs="Tahoma"/>
                <w:szCs w:val="18"/>
              </w:rPr>
            </w:pPr>
          </w:p>
        </w:tc>
        <w:tc>
          <w:tcPr>
            <w:tcW w:w="567" w:type="dxa"/>
            <w:tcBorders>
              <w:top w:val="nil"/>
              <w:left w:val="nil"/>
              <w:bottom w:val="nil"/>
              <w:right w:val="nil"/>
            </w:tcBorders>
          </w:tcPr>
          <w:p w14:paraId="315971F1" w14:textId="77777777" w:rsidR="00170082" w:rsidRPr="00A84647" w:rsidRDefault="00170082" w:rsidP="00170082">
            <w:pPr>
              <w:spacing w:after="0"/>
              <w:jc w:val="center"/>
              <w:rPr>
                <w:rFonts w:cs="Tahoma"/>
                <w:szCs w:val="18"/>
              </w:rPr>
            </w:pPr>
          </w:p>
        </w:tc>
        <w:tc>
          <w:tcPr>
            <w:tcW w:w="2330" w:type="dxa"/>
            <w:tcBorders>
              <w:top w:val="nil"/>
              <w:left w:val="nil"/>
              <w:bottom w:val="nil"/>
              <w:right w:val="nil"/>
            </w:tcBorders>
          </w:tcPr>
          <w:p w14:paraId="4F74EE83" w14:textId="32C6464F" w:rsidR="00170082" w:rsidRPr="00A84647" w:rsidRDefault="00170082" w:rsidP="0086268F">
            <w:pPr>
              <w:spacing w:after="0"/>
              <w:jc w:val="center"/>
              <w:rPr>
                <w:rFonts w:cs="Tahoma"/>
                <w:szCs w:val="18"/>
              </w:rPr>
            </w:pPr>
          </w:p>
        </w:tc>
      </w:tr>
      <w:tr w:rsidR="00170082" w:rsidRPr="00A84647" w14:paraId="13032811" w14:textId="77777777" w:rsidTr="002B726B">
        <w:trPr>
          <w:gridAfter w:val="3"/>
          <w:wAfter w:w="5227" w:type="dxa"/>
        </w:trPr>
        <w:tc>
          <w:tcPr>
            <w:tcW w:w="2694" w:type="dxa"/>
            <w:tcBorders>
              <w:top w:val="nil"/>
              <w:left w:val="nil"/>
              <w:bottom w:val="nil"/>
              <w:right w:val="nil"/>
            </w:tcBorders>
            <w:shd w:val="clear" w:color="auto" w:fill="auto"/>
          </w:tcPr>
          <w:p w14:paraId="273E24E7" w14:textId="137269E4" w:rsidR="006D74D6" w:rsidRPr="00EB5651" w:rsidRDefault="006D74D6" w:rsidP="00EB5651">
            <w:pPr>
              <w:pStyle w:val="Virsraksts1"/>
              <w:spacing w:after="360"/>
              <w:rPr>
                <w:rFonts w:ascii="Tahoma" w:hAnsi="Tahoma" w:cs="Tahoma"/>
                <w:color w:val="575756"/>
                <w:sz w:val="18"/>
                <w:szCs w:val="18"/>
              </w:rPr>
            </w:pPr>
          </w:p>
        </w:tc>
        <w:tc>
          <w:tcPr>
            <w:tcW w:w="567" w:type="dxa"/>
            <w:tcBorders>
              <w:top w:val="nil"/>
              <w:left w:val="nil"/>
              <w:bottom w:val="nil"/>
              <w:right w:val="nil"/>
            </w:tcBorders>
          </w:tcPr>
          <w:p w14:paraId="161A88EA" w14:textId="77777777" w:rsidR="00170082" w:rsidRPr="00A84647" w:rsidRDefault="00170082" w:rsidP="00170082">
            <w:pPr>
              <w:spacing w:after="0"/>
              <w:jc w:val="center"/>
              <w:rPr>
                <w:rFonts w:cs="Tahoma"/>
                <w:szCs w:val="18"/>
              </w:rPr>
            </w:pPr>
          </w:p>
        </w:tc>
      </w:tr>
    </w:tbl>
    <w:bookmarkStart w:id="168" w:name="_MON_1542090457"/>
    <w:bookmarkEnd w:id="168"/>
    <w:p w14:paraId="7B24CA58" w14:textId="0A29B2E7" w:rsidR="00421CEF" w:rsidRDefault="00892F6A" w:rsidP="00CB0DDB">
      <w:pPr>
        <w:spacing w:before="120"/>
        <w:jc w:val="both"/>
        <w:rPr>
          <w:rFonts w:cs="Tahoma"/>
          <w:color w:val="FF0000"/>
          <w:sz w:val="16"/>
          <w:szCs w:val="16"/>
          <w:lang w:eastAsia="en-US"/>
        </w:rPr>
      </w:pPr>
      <w:r w:rsidRPr="006E37A8">
        <w:rPr>
          <w:rFonts w:ascii="Arial Narrow" w:hAnsi="Arial Narrow"/>
          <w:szCs w:val="18"/>
        </w:rPr>
        <w:object w:dxaOrig="10281" w:dyaOrig="6362" w14:anchorId="46F26232">
          <v:shape id="_x0000_i1026" type="#_x0000_t75" style="width:456.75pt;height:287.25pt" o:ole="" fillcolor="window">
            <v:imagedata r:id="rId14" o:title=""/>
          </v:shape>
          <o:OLEObject Type="Embed" ProgID="Excel.Sheet.8" ShapeID="_x0000_i1026" DrawAspect="Content" ObjectID="_1735982606" r:id="rId15"/>
        </w:object>
      </w:r>
    </w:p>
    <w:p w14:paraId="4D739EAF" w14:textId="77777777" w:rsidR="00421CEF" w:rsidRDefault="00421CEF" w:rsidP="00CB0DDB">
      <w:pPr>
        <w:spacing w:before="120"/>
        <w:jc w:val="both"/>
        <w:rPr>
          <w:rFonts w:cs="Tahoma"/>
          <w:color w:val="FF0000"/>
          <w:sz w:val="16"/>
          <w:szCs w:val="16"/>
          <w:lang w:eastAsia="en-US"/>
        </w:rPr>
      </w:pPr>
    </w:p>
    <w:p w14:paraId="313A9C1B" w14:textId="4DC830DF" w:rsidR="00421CEF" w:rsidRDefault="00421CEF" w:rsidP="00CB0DDB">
      <w:pPr>
        <w:spacing w:before="120"/>
        <w:jc w:val="both"/>
        <w:rPr>
          <w:rFonts w:cs="Tahoma"/>
          <w:szCs w:val="18"/>
          <w:lang w:eastAsia="en-US"/>
        </w:rPr>
      </w:pPr>
    </w:p>
    <w:p w14:paraId="10E2558E" w14:textId="55F8D94A" w:rsidR="00126389" w:rsidRDefault="00126389" w:rsidP="00CB0DDB">
      <w:pPr>
        <w:spacing w:before="120"/>
        <w:jc w:val="both"/>
        <w:rPr>
          <w:rFonts w:cs="Tahoma"/>
          <w:szCs w:val="18"/>
          <w:lang w:eastAsia="en-US"/>
        </w:rPr>
      </w:pPr>
    </w:p>
    <w:p w14:paraId="46B4C845" w14:textId="2073D77C" w:rsidR="00126389" w:rsidRDefault="00126389" w:rsidP="00CB0DDB">
      <w:pPr>
        <w:spacing w:before="120"/>
        <w:jc w:val="both"/>
        <w:rPr>
          <w:rFonts w:cs="Tahoma"/>
          <w:szCs w:val="18"/>
          <w:lang w:eastAsia="en-US"/>
        </w:rPr>
      </w:pPr>
    </w:p>
    <w:p w14:paraId="171E706A" w14:textId="77777777" w:rsidR="00126389" w:rsidRDefault="00126389" w:rsidP="00CB0DDB">
      <w:pPr>
        <w:spacing w:before="120"/>
        <w:jc w:val="both"/>
        <w:rPr>
          <w:rFonts w:cs="Tahoma"/>
          <w:szCs w:val="18"/>
          <w:lang w:eastAsia="en-US"/>
        </w:rPr>
      </w:pPr>
    </w:p>
    <w:p w14:paraId="69CE2612" w14:textId="77777777" w:rsidR="00416786" w:rsidRPr="00AC793F" w:rsidRDefault="00416786" w:rsidP="00CB0DDB">
      <w:pPr>
        <w:spacing w:before="120"/>
        <w:jc w:val="both"/>
        <w:rPr>
          <w:rFonts w:cs="Tahoma"/>
          <w:szCs w:val="18"/>
          <w:lang w:eastAsia="en-US"/>
        </w:rPr>
      </w:pPr>
    </w:p>
    <w:p w14:paraId="3E91EBDA" w14:textId="77777777" w:rsidR="0095774D" w:rsidRPr="00AD0D7D" w:rsidRDefault="0095774D" w:rsidP="00CD5DDB">
      <w:pPr>
        <w:rPr>
          <w:rFonts w:cs="Tahoma"/>
          <w:szCs w:val="18"/>
        </w:rPr>
      </w:pPr>
    </w:p>
    <w:p w14:paraId="3D9FCB8B" w14:textId="786A4133" w:rsidR="00AC3C05" w:rsidRPr="00A84647" w:rsidRDefault="00774A4A" w:rsidP="00D3611F">
      <w:pPr>
        <w:spacing w:before="120" w:after="120"/>
        <w:rPr>
          <w:rFonts w:cs="Tahoma"/>
          <w:color w:val="575756"/>
          <w:szCs w:val="18"/>
        </w:rPr>
      </w:pPr>
      <w:r w:rsidRPr="00A84647">
        <w:rPr>
          <w:rFonts w:cs="Tahoma"/>
          <w:szCs w:val="18"/>
        </w:rPr>
        <w:br w:type="page"/>
      </w:r>
      <w:bookmarkStart w:id="169" w:name="_Toc473130134"/>
      <w:r w:rsidR="00590EE4" w:rsidRPr="000F5950">
        <w:rPr>
          <w:rFonts w:cs="Tahoma"/>
          <w:b/>
          <w:color w:val="575756"/>
          <w:szCs w:val="18"/>
        </w:rPr>
        <w:lastRenderedPageBreak/>
        <w:t>Peļņas vai zaudējumu aprēķins</w:t>
      </w:r>
      <w:bookmarkEnd w:id="169"/>
    </w:p>
    <w:p w14:paraId="36507AF9" w14:textId="77777777" w:rsidR="00590EE4" w:rsidRDefault="00590EE4" w:rsidP="00590EE4">
      <w:pPr>
        <w:rPr>
          <w:rFonts w:cs="Tahoma"/>
          <w:szCs w:val="18"/>
        </w:rPr>
      </w:pPr>
      <w:r w:rsidRPr="00A84647">
        <w:rPr>
          <w:rFonts w:cs="Tahoma"/>
          <w:szCs w:val="18"/>
        </w:rPr>
        <w:t>(pēc izdevumu funkcijas)</w:t>
      </w:r>
    </w:p>
    <w:p w14:paraId="488A7660" w14:textId="77777777" w:rsidR="002521D2" w:rsidRDefault="002521D2" w:rsidP="00590EE4">
      <w:pPr>
        <w:rPr>
          <w:rFonts w:cs="Tahoma"/>
          <w:szCs w:val="18"/>
        </w:rPr>
      </w:pPr>
    </w:p>
    <w:bookmarkStart w:id="170" w:name="_MON_1517119909"/>
    <w:bookmarkEnd w:id="170"/>
    <w:p w14:paraId="02EC2B81" w14:textId="153EEB29" w:rsidR="002521D2" w:rsidRPr="0079073F" w:rsidRDefault="00FD67D5" w:rsidP="002521D2">
      <w:pPr>
        <w:pStyle w:val="Pamatteksts2"/>
        <w:rPr>
          <w:rFonts w:ascii="Tahoma" w:hAnsi="Tahoma" w:cs="Tahoma"/>
          <w:szCs w:val="18"/>
        </w:rPr>
      </w:pPr>
      <w:r w:rsidRPr="001C4EBD">
        <w:rPr>
          <w:rFonts w:ascii="Tahoma" w:hAnsi="Tahoma" w:cs="Tahoma"/>
          <w:sz w:val="24"/>
        </w:rPr>
        <w:object w:dxaOrig="9615" w:dyaOrig="6674" w14:anchorId="2B994023">
          <v:shape id="_x0000_i1027" type="#_x0000_t75" style="width:468pt;height:350.25pt" o:ole="" fillcolor="window">
            <v:imagedata r:id="rId16" o:title=""/>
          </v:shape>
          <o:OLEObject Type="Embed" ProgID="Excel.Sheet.8" ShapeID="_x0000_i1027" DrawAspect="Content" ObjectID="_1735982607" r:id="rId17"/>
        </w:object>
      </w:r>
    </w:p>
    <w:p w14:paraId="394D932F" w14:textId="77777777" w:rsidR="002521D2" w:rsidRDefault="002521D2" w:rsidP="00590EE4">
      <w:pPr>
        <w:rPr>
          <w:rFonts w:cs="Tahoma"/>
          <w:szCs w:val="18"/>
        </w:rPr>
      </w:pPr>
    </w:p>
    <w:p w14:paraId="70144911" w14:textId="77777777" w:rsidR="002521D2" w:rsidRDefault="002521D2" w:rsidP="00590EE4">
      <w:pPr>
        <w:rPr>
          <w:rFonts w:cs="Tahoma"/>
          <w:szCs w:val="18"/>
        </w:rPr>
      </w:pPr>
    </w:p>
    <w:p w14:paraId="5543FD99" w14:textId="77777777" w:rsidR="00D3611F" w:rsidRDefault="00D3611F" w:rsidP="00590EE4">
      <w:pPr>
        <w:rPr>
          <w:rFonts w:cs="Tahoma"/>
          <w:szCs w:val="18"/>
        </w:rPr>
      </w:pPr>
    </w:p>
    <w:p w14:paraId="2CDF7BC5" w14:textId="77777777" w:rsidR="002521D2" w:rsidRPr="00A84647" w:rsidRDefault="002521D2" w:rsidP="00590EE4">
      <w:pPr>
        <w:rPr>
          <w:rFonts w:cs="Tahoma"/>
          <w:szCs w:val="18"/>
        </w:rPr>
      </w:pPr>
    </w:p>
    <w:p w14:paraId="149C0EDC" w14:textId="77777777" w:rsidR="009C705E" w:rsidRPr="00A84647" w:rsidRDefault="00340CD8" w:rsidP="009C705E">
      <w:pPr>
        <w:pStyle w:val="Pamatteksts2"/>
        <w:rPr>
          <w:rFonts w:ascii="Tahoma" w:hAnsi="Tahoma" w:cs="Tahoma"/>
          <w:szCs w:val="18"/>
        </w:rPr>
      </w:pPr>
      <w:r>
        <w:rPr>
          <w:rFonts w:ascii="Tahoma" w:hAnsi="Tahoma" w:cs="Tahoma"/>
          <w:szCs w:val="18"/>
        </w:rPr>
        <w:t xml:space="preserve">                       </w:t>
      </w:r>
    </w:p>
    <w:p w14:paraId="183D1FE0" w14:textId="77777777" w:rsidR="009C705E" w:rsidRPr="00A84647" w:rsidRDefault="009C705E" w:rsidP="009C705E">
      <w:pPr>
        <w:spacing w:before="120" w:after="120"/>
        <w:jc w:val="both"/>
        <w:rPr>
          <w:rFonts w:cs="Tahoma"/>
          <w:szCs w:val="18"/>
        </w:rPr>
      </w:pPr>
    </w:p>
    <w:p w14:paraId="7BFCA4D8" w14:textId="77777777" w:rsidR="009C705E" w:rsidRPr="00A84647" w:rsidRDefault="009C705E" w:rsidP="009C705E">
      <w:pPr>
        <w:spacing w:before="120" w:after="120"/>
        <w:jc w:val="both"/>
        <w:rPr>
          <w:rFonts w:cs="Tahoma"/>
          <w:szCs w:val="18"/>
        </w:rPr>
      </w:pPr>
    </w:p>
    <w:tbl>
      <w:tblPr>
        <w:tblW w:w="8406"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2"/>
        <w:gridCol w:w="567"/>
        <w:gridCol w:w="2330"/>
        <w:gridCol w:w="567"/>
        <w:gridCol w:w="2330"/>
      </w:tblGrid>
      <w:tr w:rsidR="00503B8B" w:rsidRPr="00A84647" w14:paraId="591EBFAD" w14:textId="77777777" w:rsidTr="00747CCE">
        <w:tc>
          <w:tcPr>
            <w:tcW w:w="2612" w:type="dxa"/>
            <w:tcBorders>
              <w:top w:val="nil"/>
              <w:left w:val="nil"/>
              <w:bottom w:val="nil"/>
              <w:right w:val="nil"/>
            </w:tcBorders>
            <w:shd w:val="clear" w:color="auto" w:fill="auto"/>
          </w:tcPr>
          <w:p w14:paraId="264CF5D2" w14:textId="77777777" w:rsidR="00503B8B" w:rsidRPr="00A84647" w:rsidRDefault="00503B8B" w:rsidP="00474032">
            <w:pPr>
              <w:spacing w:after="0"/>
              <w:jc w:val="center"/>
              <w:rPr>
                <w:rFonts w:cs="Tahoma"/>
                <w:szCs w:val="18"/>
              </w:rPr>
            </w:pPr>
          </w:p>
        </w:tc>
        <w:tc>
          <w:tcPr>
            <w:tcW w:w="567" w:type="dxa"/>
            <w:tcBorders>
              <w:top w:val="nil"/>
              <w:left w:val="nil"/>
              <w:bottom w:val="nil"/>
              <w:right w:val="nil"/>
            </w:tcBorders>
          </w:tcPr>
          <w:p w14:paraId="717F3CCC" w14:textId="77777777" w:rsidR="00503B8B" w:rsidRPr="00A84647" w:rsidRDefault="00503B8B" w:rsidP="00474032">
            <w:pPr>
              <w:spacing w:after="0"/>
              <w:jc w:val="center"/>
              <w:rPr>
                <w:rFonts w:cs="Tahoma"/>
                <w:szCs w:val="18"/>
              </w:rPr>
            </w:pPr>
          </w:p>
        </w:tc>
        <w:tc>
          <w:tcPr>
            <w:tcW w:w="2330" w:type="dxa"/>
            <w:tcBorders>
              <w:top w:val="nil"/>
              <w:left w:val="nil"/>
              <w:bottom w:val="nil"/>
              <w:right w:val="nil"/>
            </w:tcBorders>
          </w:tcPr>
          <w:p w14:paraId="394C5133" w14:textId="77777777" w:rsidR="00503B8B" w:rsidRPr="00A84647" w:rsidRDefault="00503B8B" w:rsidP="00474032">
            <w:pPr>
              <w:spacing w:after="0"/>
              <w:jc w:val="center"/>
              <w:rPr>
                <w:rFonts w:cs="Tahoma"/>
                <w:szCs w:val="18"/>
              </w:rPr>
            </w:pPr>
          </w:p>
        </w:tc>
        <w:tc>
          <w:tcPr>
            <w:tcW w:w="567" w:type="dxa"/>
            <w:tcBorders>
              <w:top w:val="nil"/>
              <w:left w:val="nil"/>
              <w:bottom w:val="nil"/>
              <w:right w:val="nil"/>
            </w:tcBorders>
          </w:tcPr>
          <w:p w14:paraId="3FD3EB5E" w14:textId="77777777" w:rsidR="00503B8B" w:rsidRPr="00A84647" w:rsidRDefault="00503B8B" w:rsidP="00474032">
            <w:pPr>
              <w:spacing w:after="0"/>
              <w:jc w:val="center"/>
              <w:rPr>
                <w:rFonts w:cs="Tahoma"/>
                <w:szCs w:val="18"/>
              </w:rPr>
            </w:pPr>
          </w:p>
        </w:tc>
        <w:tc>
          <w:tcPr>
            <w:tcW w:w="2330" w:type="dxa"/>
            <w:tcBorders>
              <w:top w:val="nil"/>
              <w:left w:val="nil"/>
              <w:bottom w:val="nil"/>
              <w:right w:val="nil"/>
            </w:tcBorders>
          </w:tcPr>
          <w:p w14:paraId="3FF946D2" w14:textId="77777777" w:rsidR="00503B8B" w:rsidRPr="00A84647" w:rsidRDefault="00503B8B" w:rsidP="00474032">
            <w:pPr>
              <w:spacing w:after="0"/>
              <w:jc w:val="center"/>
              <w:rPr>
                <w:rFonts w:cs="Tahoma"/>
                <w:szCs w:val="18"/>
              </w:rPr>
            </w:pPr>
          </w:p>
        </w:tc>
      </w:tr>
    </w:tbl>
    <w:p w14:paraId="38F0FCE7" w14:textId="77777777" w:rsidR="000F5950" w:rsidRDefault="000F5950" w:rsidP="0014726B">
      <w:pPr>
        <w:pStyle w:val="Virsraksts1"/>
        <w:spacing w:after="0" w:line="240" w:lineRule="auto"/>
        <w:rPr>
          <w:rFonts w:ascii="Tahoma" w:hAnsi="Tahoma" w:cs="Tahoma"/>
          <w:color w:val="575756"/>
          <w:sz w:val="22"/>
          <w:szCs w:val="22"/>
          <w:lang w:val="en-GB"/>
        </w:rPr>
      </w:pPr>
      <w:bookmarkStart w:id="171" w:name="_Toc468781798"/>
    </w:p>
    <w:p w14:paraId="1022FDEA" w14:textId="77777777" w:rsidR="000F5950" w:rsidRDefault="000F5950" w:rsidP="0014726B">
      <w:pPr>
        <w:pStyle w:val="Virsraksts1"/>
        <w:spacing w:after="0" w:line="240" w:lineRule="auto"/>
        <w:rPr>
          <w:rFonts w:ascii="Tahoma" w:hAnsi="Tahoma" w:cs="Tahoma"/>
          <w:color w:val="575756"/>
          <w:sz w:val="22"/>
          <w:szCs w:val="22"/>
          <w:lang w:val="en-GB"/>
        </w:rPr>
      </w:pPr>
    </w:p>
    <w:p w14:paraId="2973C53D" w14:textId="0DC4CAAC" w:rsidR="0014726B" w:rsidRDefault="0014726B" w:rsidP="0014726B">
      <w:pPr>
        <w:pStyle w:val="Virsraksts1"/>
        <w:spacing w:after="0" w:line="240" w:lineRule="auto"/>
        <w:rPr>
          <w:rFonts w:ascii="Tahoma" w:hAnsi="Tahoma" w:cs="Tahoma"/>
          <w:color w:val="575756"/>
          <w:sz w:val="22"/>
          <w:szCs w:val="22"/>
          <w:lang w:val="en-GB"/>
        </w:rPr>
      </w:pPr>
      <w:r>
        <w:rPr>
          <w:rFonts w:ascii="Tahoma" w:hAnsi="Tahoma" w:cs="Tahoma"/>
          <w:color w:val="575756"/>
          <w:sz w:val="22"/>
          <w:szCs w:val="22"/>
          <w:lang w:val="en-GB"/>
        </w:rPr>
        <w:t>Naudas plūsmas pārskats</w:t>
      </w:r>
      <w:bookmarkEnd w:id="171"/>
      <w:r w:rsidR="00CF16FD">
        <w:rPr>
          <w:rFonts w:ascii="Tahoma" w:hAnsi="Tahoma" w:cs="Tahoma"/>
          <w:color w:val="575756"/>
          <w:sz w:val="22"/>
          <w:szCs w:val="22"/>
          <w:lang w:val="en-GB"/>
        </w:rPr>
        <w:t xml:space="preserve">  01.0</w:t>
      </w:r>
      <w:r w:rsidR="00A70E4F">
        <w:rPr>
          <w:rFonts w:ascii="Tahoma" w:hAnsi="Tahoma" w:cs="Tahoma"/>
          <w:color w:val="575756"/>
          <w:sz w:val="22"/>
          <w:szCs w:val="22"/>
          <w:lang w:val="en-GB"/>
        </w:rPr>
        <w:t>4</w:t>
      </w:r>
      <w:r w:rsidR="00CF16FD">
        <w:rPr>
          <w:rFonts w:ascii="Tahoma" w:hAnsi="Tahoma" w:cs="Tahoma"/>
          <w:color w:val="575756"/>
          <w:sz w:val="22"/>
          <w:szCs w:val="22"/>
          <w:lang w:val="en-GB"/>
        </w:rPr>
        <w:t>.2022.-3</w:t>
      </w:r>
      <w:r w:rsidR="00A70E4F">
        <w:rPr>
          <w:rFonts w:ascii="Tahoma" w:hAnsi="Tahoma" w:cs="Tahoma"/>
          <w:color w:val="575756"/>
          <w:sz w:val="22"/>
          <w:szCs w:val="22"/>
          <w:lang w:val="en-GB"/>
        </w:rPr>
        <w:t>0</w:t>
      </w:r>
      <w:r w:rsidR="00CF16FD">
        <w:rPr>
          <w:rFonts w:ascii="Tahoma" w:hAnsi="Tahoma" w:cs="Tahoma"/>
          <w:color w:val="575756"/>
          <w:sz w:val="22"/>
          <w:szCs w:val="22"/>
          <w:lang w:val="en-GB"/>
        </w:rPr>
        <w:t>.0</w:t>
      </w:r>
      <w:r w:rsidR="00A70E4F">
        <w:rPr>
          <w:rFonts w:ascii="Tahoma" w:hAnsi="Tahoma" w:cs="Tahoma"/>
          <w:color w:val="575756"/>
          <w:sz w:val="22"/>
          <w:szCs w:val="22"/>
          <w:lang w:val="en-GB"/>
        </w:rPr>
        <w:t>6</w:t>
      </w:r>
      <w:r w:rsidR="00CF16FD">
        <w:rPr>
          <w:rFonts w:ascii="Tahoma" w:hAnsi="Tahoma" w:cs="Tahoma"/>
          <w:color w:val="575756"/>
          <w:sz w:val="22"/>
          <w:szCs w:val="22"/>
          <w:lang w:val="en-GB"/>
        </w:rPr>
        <w:t>.2022.</w:t>
      </w:r>
    </w:p>
    <w:p w14:paraId="596276B9" w14:textId="28767376" w:rsidR="0014726B" w:rsidRDefault="0014726B" w:rsidP="0014726B">
      <w:pPr>
        <w:rPr>
          <w:rFonts w:cs="Tahoma"/>
          <w:lang w:val="en-GB"/>
        </w:rPr>
      </w:pPr>
      <w:r>
        <w:rPr>
          <w:lang w:val="en-GB"/>
        </w:rPr>
        <w:t>(pēc tiešās metodes)</w:t>
      </w:r>
      <w:bookmarkStart w:id="172" w:name="_Toc34528787"/>
      <w:bookmarkStart w:id="173" w:name="_MON_1028527677"/>
      <w:bookmarkStart w:id="174" w:name="_MON_1028535619"/>
      <w:bookmarkStart w:id="175" w:name="_MON_1028536155"/>
      <w:bookmarkStart w:id="176" w:name="_MON_1028559975"/>
      <w:bookmarkStart w:id="177" w:name="_MON_1028625425"/>
      <w:bookmarkStart w:id="178" w:name="_MON_1028626710"/>
      <w:bookmarkStart w:id="179" w:name="_MON_1028627008"/>
      <w:bookmarkStart w:id="180" w:name="_MON_1028627867"/>
      <w:bookmarkStart w:id="181" w:name="_MON_1046032570"/>
      <w:bookmarkStart w:id="182" w:name="_MON_1046093725"/>
      <w:bookmarkStart w:id="183" w:name="_MON_1047708453"/>
      <w:bookmarkStart w:id="184" w:name="_MON_1047708485"/>
      <w:bookmarkStart w:id="185" w:name="_MON_1071648107"/>
      <w:bookmarkStart w:id="186" w:name="_MON_1093093790"/>
      <w:bookmarkStart w:id="187" w:name="_MON_1093331809"/>
      <w:bookmarkStart w:id="188" w:name="_MON_1093332100"/>
      <w:bookmarkStart w:id="189" w:name="_MON_1099821859"/>
      <w:bookmarkStart w:id="190" w:name="_MON_1107847970"/>
      <w:bookmarkStart w:id="191" w:name="_MON_1108390675"/>
      <w:bookmarkStart w:id="192" w:name="_MON_1108452024"/>
      <w:bookmarkStart w:id="193" w:name="_MON_1168684562"/>
      <w:bookmarkStart w:id="194" w:name="_MON_1168684615"/>
      <w:bookmarkStart w:id="195" w:name="_MON_1168684721"/>
      <w:bookmarkStart w:id="196" w:name="_MON_1168684857"/>
      <w:bookmarkStart w:id="197" w:name="_MON_1175513838"/>
      <w:bookmarkStart w:id="198" w:name="_MON_1175514364"/>
      <w:bookmarkStart w:id="199" w:name="_MON_1183221836"/>
      <w:bookmarkStart w:id="200" w:name="_MON_1183221903"/>
      <w:bookmarkStart w:id="201" w:name="_MON_1183221945"/>
      <w:bookmarkStart w:id="202" w:name="_MON_1183377537"/>
      <w:bookmarkStart w:id="203" w:name="_MON_1183377594"/>
      <w:bookmarkStart w:id="204" w:name="_MON_1183377599"/>
      <w:bookmarkStart w:id="205" w:name="_MON_1183378012"/>
      <w:bookmarkStart w:id="206" w:name="_MON_1183378587"/>
      <w:bookmarkStart w:id="207" w:name="_MON_1183378788"/>
      <w:bookmarkStart w:id="208" w:name="_MON_1183388529"/>
      <w:bookmarkStart w:id="209" w:name="_MON_1188283405"/>
      <w:bookmarkStart w:id="210" w:name="_MON_1191683868"/>
      <w:bookmarkStart w:id="211" w:name="_MON_1193221414"/>
      <w:bookmarkStart w:id="212" w:name="_MON_1193225742"/>
      <w:bookmarkStart w:id="213" w:name="_MON_1194081772"/>
      <w:bookmarkStart w:id="214" w:name="_MON_1194081851"/>
      <w:bookmarkStart w:id="215" w:name="_MON_1195388508"/>
      <w:bookmarkStart w:id="216" w:name="_MON_1196502937"/>
      <w:bookmarkStart w:id="217" w:name="_MON_1196503669"/>
      <w:bookmarkStart w:id="218" w:name="_MON_1196505431"/>
      <w:bookmarkStart w:id="219" w:name="_MON_1196579854"/>
      <w:bookmarkStart w:id="220" w:name="_MON_1196768900"/>
      <w:bookmarkStart w:id="221" w:name="_MON_1196769008"/>
      <w:bookmarkStart w:id="222" w:name="_MON_1197981145"/>
      <w:bookmarkStart w:id="223" w:name="_MON_1197981270"/>
      <w:bookmarkStart w:id="224" w:name="_MON_1202813640"/>
      <w:bookmarkStart w:id="225" w:name="_MON_1220851355"/>
      <w:bookmarkStart w:id="226" w:name="_MON_1222785324"/>
      <w:bookmarkStart w:id="227" w:name="_MON_1235847995"/>
      <w:bookmarkStart w:id="228" w:name="_MON_1236454679"/>
      <w:bookmarkStart w:id="229" w:name="_MON_1236454796"/>
      <w:bookmarkStart w:id="230" w:name="_MON_1236454845"/>
      <w:bookmarkStart w:id="231" w:name="_MON_1236455274"/>
      <w:bookmarkStart w:id="232" w:name="_MON_1236845652"/>
      <w:bookmarkStart w:id="233" w:name="_MON_1237220697"/>
      <w:bookmarkStart w:id="234" w:name="_MON_1237725514"/>
      <w:bookmarkStart w:id="235" w:name="_MON_1237887853"/>
      <w:bookmarkStart w:id="236" w:name="_MON_1237888517"/>
      <w:bookmarkStart w:id="237" w:name="_MON_1238134516"/>
      <w:bookmarkStart w:id="238" w:name="_MON_1238162889"/>
      <w:bookmarkStart w:id="239" w:name="_MON_1238163135"/>
      <w:bookmarkStart w:id="240" w:name="_MON_1238163197"/>
      <w:bookmarkStart w:id="241" w:name="_MON_1238163368"/>
      <w:bookmarkStart w:id="242" w:name="_MON_1238163417"/>
      <w:bookmarkStart w:id="243" w:name="_MON_1238163487"/>
      <w:bookmarkStart w:id="244" w:name="_MON_1238269195"/>
      <w:bookmarkStart w:id="245" w:name="_MON_1238314442"/>
      <w:bookmarkStart w:id="246" w:name="_MON_1238314653"/>
      <w:bookmarkStart w:id="247" w:name="_MON_1238314858"/>
      <w:bookmarkStart w:id="248" w:name="_MON_1238315288"/>
      <w:bookmarkStart w:id="249" w:name="_MON_1238433252"/>
      <w:bookmarkStart w:id="250" w:name="_MON_1238433520"/>
      <w:bookmarkStart w:id="251" w:name="_MON_1238696176"/>
      <w:bookmarkStart w:id="252" w:name="_MON_1257174439"/>
      <w:bookmarkStart w:id="253" w:name="_MON_1257174594"/>
      <w:bookmarkStart w:id="254" w:name="_MON_1257179252"/>
      <w:bookmarkStart w:id="255" w:name="_MON_1257516073"/>
      <w:bookmarkStart w:id="256" w:name="_MON_1261984347"/>
      <w:bookmarkStart w:id="257" w:name="_MON_1261984392"/>
      <w:bookmarkStart w:id="258" w:name="_MON_1261987453"/>
      <w:bookmarkStart w:id="259" w:name="_MON_1261988036"/>
      <w:bookmarkStart w:id="260" w:name="_MON_1261988201"/>
      <w:bookmarkStart w:id="261" w:name="_MON_1261988698"/>
      <w:bookmarkStart w:id="262" w:name="_MON_1261988786"/>
      <w:bookmarkStart w:id="263" w:name="_MON_1262081267"/>
      <w:bookmarkStart w:id="264" w:name="_MON_1265177688"/>
      <w:bookmarkStart w:id="265" w:name="_MON_1265177775"/>
      <w:bookmarkStart w:id="266" w:name="_MON_1265177807"/>
      <w:bookmarkStart w:id="267" w:name="_MON_1265178210"/>
      <w:bookmarkStart w:id="268" w:name="_MON_1265178413"/>
      <w:bookmarkStart w:id="269" w:name="_MON_1265178618"/>
      <w:bookmarkStart w:id="270" w:name="_MON_1265178640"/>
      <w:bookmarkStart w:id="271" w:name="_MON_1265178706"/>
      <w:bookmarkStart w:id="272" w:name="_MON_1265178740"/>
      <w:bookmarkStart w:id="273" w:name="_MON_1265178756"/>
      <w:bookmarkStart w:id="274" w:name="_MON_1265178776"/>
      <w:bookmarkStart w:id="275" w:name="_MON_1265179050"/>
      <w:bookmarkStart w:id="276" w:name="_MON_1265203740"/>
      <w:bookmarkStart w:id="277" w:name="_MON_1265203925"/>
      <w:bookmarkStart w:id="278" w:name="_MON_1269880943"/>
      <w:bookmarkStart w:id="279" w:name="_MON_1269927917"/>
      <w:bookmarkStart w:id="280" w:name="_MON_1270030383"/>
      <w:bookmarkStart w:id="281" w:name="_MON_1270043816"/>
      <w:bookmarkStart w:id="282" w:name="_MON_1270106899"/>
      <w:bookmarkStart w:id="283" w:name="_MON_1302534384"/>
      <w:bookmarkStart w:id="284" w:name="_MON_1330931984"/>
      <w:bookmarkStart w:id="285" w:name="_MON_1332601732"/>
      <w:bookmarkStart w:id="286" w:name="_MON_1332601919"/>
      <w:bookmarkStart w:id="287" w:name="_MON_1332601930"/>
      <w:bookmarkStart w:id="288" w:name="_MON_1332602057"/>
      <w:bookmarkStart w:id="289" w:name="_MON_1332602127"/>
      <w:bookmarkStart w:id="290" w:name="_MON_1332602157"/>
      <w:bookmarkStart w:id="291" w:name="_MON_1332602165"/>
      <w:bookmarkStart w:id="292" w:name="_MON_1333465808"/>
      <w:bookmarkStart w:id="293" w:name="_MON_1333517026"/>
      <w:bookmarkStart w:id="294" w:name="_MON_1333779164"/>
      <w:bookmarkStart w:id="295" w:name="_MON_1354611801"/>
      <w:bookmarkStart w:id="296" w:name="_MON_1354611804"/>
      <w:bookmarkStart w:id="297" w:name="_MON_1354611849"/>
      <w:bookmarkStart w:id="298" w:name="_MON_1354612580"/>
      <w:bookmarkStart w:id="299" w:name="_MON_1354612596"/>
      <w:bookmarkStart w:id="300" w:name="_MON_1365229243"/>
      <w:bookmarkStart w:id="301" w:name="_MON_1365264386"/>
      <w:bookmarkStart w:id="302" w:name="_MON_1365265332"/>
      <w:bookmarkStart w:id="303" w:name="_MON_1395484172"/>
      <w:bookmarkStart w:id="304" w:name="_MON_1395493897"/>
      <w:bookmarkStart w:id="305" w:name="_MON_1498736528"/>
      <w:bookmarkStart w:id="306" w:name="_MON_1498736572"/>
      <w:bookmarkStart w:id="307" w:name="_MON_1498736827"/>
      <w:bookmarkStart w:id="308" w:name="_MON_1498736850"/>
      <w:bookmarkStart w:id="309" w:name="_MON_1498736963"/>
      <w:bookmarkStart w:id="310" w:name="_MON_1498737102"/>
      <w:bookmarkStart w:id="311" w:name="_MON_1498737321"/>
      <w:bookmarkStart w:id="312" w:name="_MON_1500026021"/>
      <w:bookmarkStart w:id="313" w:name="_MON_1518166268"/>
      <w:bookmarkStart w:id="314" w:name="_MON_1518166275"/>
      <w:bookmarkStart w:id="315" w:name="_MON_1518166344"/>
      <w:bookmarkStart w:id="316" w:name="_MON_1518166609"/>
      <w:bookmarkStart w:id="317" w:name="_MON_1026720658"/>
      <w:bookmarkStart w:id="318" w:name="_MON_1028382346"/>
      <w:bookmarkStart w:id="319" w:name="_MON_1028384485"/>
      <w:bookmarkStart w:id="320" w:name="_MON_1028384945"/>
      <w:bookmarkStart w:id="321" w:name="_MON_1028385091"/>
      <w:bookmarkStart w:id="322" w:name="_MON_1028385299"/>
      <w:bookmarkStart w:id="323" w:name="_MON_1028386701"/>
      <w:bookmarkStart w:id="324" w:name="_MON_1028450125"/>
      <w:bookmarkStart w:id="325" w:name="_MON_1028450479"/>
      <w:bookmarkStart w:id="326" w:name="_MON_1028456937"/>
      <w:bookmarkStart w:id="327" w:name="_MON_1028471937"/>
      <w:bookmarkStart w:id="328" w:name="OLE_LINK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Start w:id="329" w:name="_MON_1028471952"/>
      <w:bookmarkEnd w:id="329"/>
      <w:r w:rsidR="00FC1D1D" w:rsidRPr="009E1BB7">
        <w:rPr>
          <w:rFonts w:cs="Tahoma"/>
          <w:lang w:val="en-GB"/>
        </w:rPr>
        <w:object w:dxaOrig="9265" w:dyaOrig="5792" w14:anchorId="313E3E2E">
          <v:shape id="_x0000_i1028" type="#_x0000_t75" style="width:462pt;height:305.25pt" o:ole="" fillcolor="window">
            <v:imagedata r:id="rId18" o:title=""/>
          </v:shape>
          <o:OLEObject Type="Embed" ProgID="Excel.Sheet.8" ShapeID="_x0000_i1028" DrawAspect="Content" ObjectID="_1735982608" r:id="rId19"/>
        </w:object>
      </w:r>
      <w:bookmarkEnd w:id="328"/>
    </w:p>
    <w:p w14:paraId="31716E93" w14:textId="77777777" w:rsidR="000F5950" w:rsidRDefault="000F5950" w:rsidP="0014726B">
      <w:pPr>
        <w:spacing w:before="120" w:after="120"/>
        <w:jc w:val="both"/>
        <w:rPr>
          <w:rFonts w:cs="Tahoma"/>
          <w:szCs w:val="18"/>
          <w:lang w:eastAsia="en-US"/>
        </w:rPr>
      </w:pPr>
    </w:p>
    <w:p w14:paraId="67ABCF4C" w14:textId="77777777" w:rsidR="000F5950" w:rsidRDefault="000F5950" w:rsidP="0014726B">
      <w:pPr>
        <w:spacing w:before="120" w:after="120"/>
        <w:jc w:val="both"/>
        <w:rPr>
          <w:rFonts w:cs="Tahoma"/>
          <w:szCs w:val="18"/>
          <w:lang w:eastAsia="en-US"/>
        </w:rPr>
      </w:pPr>
    </w:p>
    <w:p w14:paraId="453C84E7" w14:textId="77777777" w:rsidR="000F5950" w:rsidRDefault="000F5950" w:rsidP="0014726B">
      <w:pPr>
        <w:spacing w:before="120" w:after="120"/>
        <w:jc w:val="both"/>
        <w:rPr>
          <w:rFonts w:cs="Tahoma"/>
          <w:szCs w:val="18"/>
          <w:lang w:eastAsia="en-US"/>
        </w:rPr>
      </w:pPr>
    </w:p>
    <w:p w14:paraId="0F31AA52" w14:textId="77777777" w:rsidR="000F5950" w:rsidRDefault="000F5950" w:rsidP="0014726B">
      <w:pPr>
        <w:spacing w:before="120" w:after="120"/>
        <w:jc w:val="both"/>
        <w:rPr>
          <w:rFonts w:cs="Tahoma"/>
          <w:szCs w:val="18"/>
          <w:lang w:eastAsia="en-US"/>
        </w:rPr>
      </w:pPr>
    </w:p>
    <w:p w14:paraId="7F5FCD33" w14:textId="77777777" w:rsidR="000F5950" w:rsidRDefault="000F5950" w:rsidP="0014726B">
      <w:pPr>
        <w:spacing w:before="120" w:after="120"/>
        <w:jc w:val="both"/>
        <w:rPr>
          <w:rFonts w:cs="Tahoma"/>
          <w:szCs w:val="18"/>
          <w:lang w:eastAsia="en-US"/>
        </w:rPr>
      </w:pPr>
    </w:p>
    <w:p w14:paraId="2F1BDCEE" w14:textId="77777777" w:rsidR="0014726B" w:rsidRPr="00A84647" w:rsidRDefault="0014726B" w:rsidP="0014726B">
      <w:pPr>
        <w:spacing w:before="120" w:after="120"/>
        <w:jc w:val="both"/>
        <w:rPr>
          <w:rFonts w:cs="Tahoma"/>
          <w:szCs w:val="18"/>
        </w:rPr>
      </w:pPr>
    </w:p>
    <w:p w14:paraId="5AF75DA4" w14:textId="77777777" w:rsidR="0014726B" w:rsidRPr="00A84647" w:rsidRDefault="0014726B" w:rsidP="0014726B">
      <w:pPr>
        <w:spacing w:before="120" w:after="120"/>
        <w:jc w:val="both"/>
        <w:rPr>
          <w:rFonts w:cs="Tahoma"/>
          <w:szCs w:val="18"/>
        </w:rPr>
      </w:pPr>
    </w:p>
    <w:tbl>
      <w:tblPr>
        <w:tblW w:w="8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8"/>
        <w:gridCol w:w="567"/>
        <w:gridCol w:w="2330"/>
        <w:gridCol w:w="567"/>
        <w:gridCol w:w="2330"/>
      </w:tblGrid>
      <w:tr w:rsidR="0014726B" w:rsidRPr="00A84647" w14:paraId="04541333" w14:textId="77777777" w:rsidTr="00747CCE">
        <w:tc>
          <w:tcPr>
            <w:tcW w:w="2328" w:type="dxa"/>
            <w:tcBorders>
              <w:top w:val="nil"/>
              <w:left w:val="nil"/>
              <w:bottom w:val="nil"/>
              <w:right w:val="nil"/>
            </w:tcBorders>
            <w:shd w:val="clear" w:color="auto" w:fill="auto"/>
          </w:tcPr>
          <w:p w14:paraId="5ED04BD8" w14:textId="77777777" w:rsidR="0014726B" w:rsidRPr="00A84647" w:rsidRDefault="0014726B" w:rsidP="00DF1A84">
            <w:pPr>
              <w:spacing w:after="0"/>
              <w:jc w:val="center"/>
              <w:rPr>
                <w:rFonts w:cs="Tahoma"/>
                <w:szCs w:val="18"/>
              </w:rPr>
            </w:pPr>
          </w:p>
        </w:tc>
        <w:tc>
          <w:tcPr>
            <w:tcW w:w="567" w:type="dxa"/>
            <w:tcBorders>
              <w:top w:val="nil"/>
              <w:left w:val="nil"/>
              <w:bottom w:val="nil"/>
              <w:right w:val="nil"/>
            </w:tcBorders>
          </w:tcPr>
          <w:p w14:paraId="77FA938D" w14:textId="77777777" w:rsidR="0014726B" w:rsidRPr="00A84647" w:rsidRDefault="0014726B" w:rsidP="00DF1A84">
            <w:pPr>
              <w:spacing w:after="0"/>
              <w:jc w:val="center"/>
              <w:rPr>
                <w:rFonts w:cs="Tahoma"/>
                <w:szCs w:val="18"/>
              </w:rPr>
            </w:pPr>
          </w:p>
        </w:tc>
        <w:tc>
          <w:tcPr>
            <w:tcW w:w="2330" w:type="dxa"/>
            <w:tcBorders>
              <w:top w:val="nil"/>
              <w:left w:val="nil"/>
              <w:bottom w:val="nil"/>
              <w:right w:val="nil"/>
            </w:tcBorders>
          </w:tcPr>
          <w:p w14:paraId="62FB929D" w14:textId="77777777" w:rsidR="0014726B" w:rsidRPr="00A84647" w:rsidRDefault="0014726B" w:rsidP="00DF1A84">
            <w:pPr>
              <w:spacing w:after="0"/>
              <w:jc w:val="center"/>
              <w:rPr>
                <w:rFonts w:cs="Tahoma"/>
                <w:szCs w:val="18"/>
              </w:rPr>
            </w:pPr>
          </w:p>
        </w:tc>
        <w:tc>
          <w:tcPr>
            <w:tcW w:w="567" w:type="dxa"/>
            <w:tcBorders>
              <w:top w:val="nil"/>
              <w:left w:val="nil"/>
              <w:bottom w:val="nil"/>
              <w:right w:val="nil"/>
            </w:tcBorders>
          </w:tcPr>
          <w:p w14:paraId="68347DC1" w14:textId="77777777" w:rsidR="0014726B" w:rsidRPr="00A84647" w:rsidRDefault="0014726B" w:rsidP="00DF1A84">
            <w:pPr>
              <w:spacing w:after="0"/>
              <w:jc w:val="center"/>
              <w:rPr>
                <w:rFonts w:cs="Tahoma"/>
                <w:szCs w:val="18"/>
              </w:rPr>
            </w:pPr>
          </w:p>
        </w:tc>
        <w:tc>
          <w:tcPr>
            <w:tcW w:w="2330" w:type="dxa"/>
            <w:tcBorders>
              <w:top w:val="nil"/>
              <w:left w:val="nil"/>
              <w:bottom w:val="nil"/>
              <w:right w:val="nil"/>
            </w:tcBorders>
          </w:tcPr>
          <w:p w14:paraId="40C94475" w14:textId="77777777" w:rsidR="0014726B" w:rsidRPr="00A84647" w:rsidRDefault="0014726B" w:rsidP="00DF1A84">
            <w:pPr>
              <w:spacing w:after="0"/>
              <w:jc w:val="center"/>
              <w:rPr>
                <w:rFonts w:cs="Tahoma"/>
                <w:szCs w:val="18"/>
              </w:rPr>
            </w:pPr>
          </w:p>
        </w:tc>
      </w:tr>
    </w:tbl>
    <w:p w14:paraId="27565751" w14:textId="77777777" w:rsidR="00442B26" w:rsidRPr="00A84647" w:rsidRDefault="00442B26" w:rsidP="0014726B">
      <w:pPr>
        <w:spacing w:before="120" w:after="120"/>
        <w:jc w:val="both"/>
        <w:rPr>
          <w:rFonts w:cs="Tahoma"/>
          <w:szCs w:val="18"/>
        </w:rPr>
      </w:pPr>
    </w:p>
    <w:p w14:paraId="366096D8" w14:textId="77777777" w:rsidR="00D32162" w:rsidRDefault="00D32162" w:rsidP="00D32162">
      <w:pPr>
        <w:pStyle w:val="Virsraksts1"/>
        <w:spacing w:after="360"/>
        <w:rPr>
          <w:rFonts w:ascii="Tahoma" w:hAnsi="Tahoma" w:cs="Tahoma"/>
          <w:color w:val="575756"/>
          <w:sz w:val="22"/>
          <w:szCs w:val="22"/>
          <w:lang w:val="en-GB"/>
        </w:rPr>
      </w:pPr>
      <w:r>
        <w:rPr>
          <w:rFonts w:ascii="Tahoma" w:hAnsi="Tahoma" w:cs="Tahoma"/>
          <w:color w:val="575756"/>
          <w:sz w:val="22"/>
          <w:szCs w:val="22"/>
          <w:lang w:val="en-GB"/>
        </w:rPr>
        <w:lastRenderedPageBreak/>
        <w:t>Pašu kapitāla izmaiņu pārskats</w:t>
      </w:r>
    </w:p>
    <w:bookmarkStart w:id="330" w:name="_MON_1542197884"/>
    <w:bookmarkEnd w:id="330"/>
    <w:p w14:paraId="17987258" w14:textId="426EDA3E" w:rsidR="006518AE" w:rsidRDefault="00FC1D1D" w:rsidP="0014726B">
      <w:pPr>
        <w:rPr>
          <w:rFonts w:cs="Tahoma"/>
          <w:szCs w:val="18"/>
          <w:lang w:val="en-GB"/>
        </w:rPr>
      </w:pPr>
      <w:r w:rsidRPr="009E1BB7">
        <w:rPr>
          <w:rFonts w:cs="Tahoma"/>
          <w:lang w:val="en-GB"/>
        </w:rPr>
        <w:object w:dxaOrig="9218" w:dyaOrig="8478" w14:anchorId="3BE43EC8">
          <v:shape id="_x0000_i1029" type="#_x0000_t75" style="width:460.5pt;height:423.75pt" o:ole="" fillcolor="window">
            <v:imagedata r:id="rId20" o:title=""/>
          </v:shape>
          <o:OLEObject Type="Embed" ProgID="Excel.Sheet.8" ShapeID="_x0000_i1029" DrawAspect="Content" ObjectID="_1735982609" r:id="rId21"/>
        </w:object>
      </w:r>
    </w:p>
    <w:p w14:paraId="39EF9D51" w14:textId="77777777" w:rsidR="005270C4" w:rsidRPr="0014726B" w:rsidRDefault="005270C4" w:rsidP="0014726B">
      <w:pPr>
        <w:spacing w:before="120" w:after="120"/>
        <w:jc w:val="both"/>
        <w:rPr>
          <w:rFonts w:cs="Tahoma"/>
          <w:szCs w:val="18"/>
        </w:rPr>
      </w:pPr>
    </w:p>
    <w:p w14:paraId="073BE4BD" w14:textId="77777777" w:rsidR="0014726B" w:rsidRPr="0014726B" w:rsidRDefault="0014726B" w:rsidP="0014726B">
      <w:pPr>
        <w:pStyle w:val="Pamatteksts2"/>
        <w:rPr>
          <w:rFonts w:ascii="Tahoma" w:hAnsi="Tahoma" w:cs="Tahoma"/>
          <w:szCs w:val="18"/>
          <w:lang w:val="en-GB"/>
        </w:rPr>
      </w:pPr>
    </w:p>
    <w:p w14:paraId="1FC2E407" w14:textId="77777777" w:rsidR="0014726B" w:rsidRPr="009E1BB7" w:rsidRDefault="0014726B" w:rsidP="0014726B">
      <w:pPr>
        <w:pStyle w:val="Pamatteksts2"/>
        <w:rPr>
          <w:rFonts w:ascii="Tahoma" w:hAnsi="Tahoma" w:cs="Tahoma"/>
          <w:sz w:val="14"/>
          <w:szCs w:val="18"/>
          <w:lang w:val="en-GB"/>
        </w:rPr>
      </w:pPr>
    </w:p>
    <w:p w14:paraId="2755832E" w14:textId="33C5624A" w:rsidR="000275EA" w:rsidRDefault="000275EA" w:rsidP="0014726B">
      <w:pPr>
        <w:pStyle w:val="Virsraksts1"/>
        <w:spacing w:after="0" w:line="240" w:lineRule="auto"/>
        <w:rPr>
          <w:rFonts w:cs="Tahoma"/>
          <w:szCs w:val="18"/>
        </w:rPr>
      </w:pPr>
      <w:bookmarkStart w:id="331" w:name="_Toc473130136"/>
      <w:bookmarkStart w:id="332" w:name="_Toc468781799"/>
    </w:p>
    <w:p w14:paraId="36588E8B" w14:textId="7E614648" w:rsidR="00747CCE" w:rsidRDefault="00747CCE" w:rsidP="00747CCE"/>
    <w:p w14:paraId="74D2258C" w14:textId="3CF7738E" w:rsidR="00747CCE" w:rsidRDefault="00747CCE" w:rsidP="00747CCE"/>
    <w:p w14:paraId="7C18E6A0" w14:textId="77777777" w:rsidR="00747CCE" w:rsidRPr="00747CCE" w:rsidRDefault="00747CCE" w:rsidP="00747CCE"/>
    <w:p w14:paraId="16964166" w14:textId="1C4A8460" w:rsidR="00764A5C" w:rsidRDefault="00764A5C" w:rsidP="00764A5C"/>
    <w:p w14:paraId="71C50F85" w14:textId="22DF3D39" w:rsidR="00E37965" w:rsidRDefault="00E37965" w:rsidP="00764A5C"/>
    <w:p w14:paraId="693C6E86" w14:textId="77777777" w:rsidR="00E37965" w:rsidRPr="00764A5C" w:rsidRDefault="00E37965" w:rsidP="00764A5C"/>
    <w:p w14:paraId="1D5796B0" w14:textId="77777777" w:rsidR="008D0CA3" w:rsidRPr="00A84647" w:rsidRDefault="008D3B13" w:rsidP="00F878BD">
      <w:pPr>
        <w:pStyle w:val="Virsraksts1"/>
        <w:spacing w:after="360"/>
        <w:rPr>
          <w:rFonts w:ascii="Tahoma" w:hAnsi="Tahoma" w:cs="Tahoma"/>
          <w:color w:val="575756"/>
          <w:sz w:val="18"/>
          <w:szCs w:val="18"/>
        </w:rPr>
      </w:pPr>
      <w:bookmarkStart w:id="333" w:name="_Toc473130137"/>
      <w:bookmarkEnd w:id="331"/>
      <w:bookmarkEnd w:id="332"/>
      <w:r w:rsidRPr="00A84647">
        <w:rPr>
          <w:rFonts w:ascii="Tahoma" w:hAnsi="Tahoma" w:cs="Tahoma"/>
          <w:color w:val="575756"/>
          <w:sz w:val="18"/>
          <w:szCs w:val="18"/>
        </w:rPr>
        <w:lastRenderedPageBreak/>
        <w:t>Finanšu pārskata pielikums</w:t>
      </w:r>
      <w:bookmarkEnd w:id="333"/>
    </w:p>
    <w:p w14:paraId="443C8CFE" w14:textId="77777777" w:rsidR="0058295F" w:rsidRPr="00A84647" w:rsidRDefault="0058295F" w:rsidP="000E03E3">
      <w:pPr>
        <w:rPr>
          <w:rFonts w:cs="Tahoma"/>
          <w:b/>
          <w:szCs w:val="18"/>
          <w:u w:val="single"/>
        </w:rPr>
      </w:pPr>
      <w:bookmarkStart w:id="334" w:name="_Notes_to_the"/>
      <w:bookmarkStart w:id="335" w:name="_Toc431813418"/>
      <w:bookmarkStart w:id="336" w:name="_Toc465249635"/>
      <w:bookmarkEnd w:id="334"/>
      <w:r w:rsidRPr="00A84647">
        <w:rPr>
          <w:rFonts w:cs="Tahoma"/>
          <w:b/>
          <w:szCs w:val="18"/>
          <w:u w:val="single"/>
        </w:rPr>
        <w:t>Vispārīga informācija</w:t>
      </w:r>
    </w:p>
    <w:tbl>
      <w:tblPr>
        <w:tblW w:w="9173" w:type="dxa"/>
        <w:tblLook w:val="04A0" w:firstRow="1" w:lastRow="0" w:firstColumn="1" w:lastColumn="0" w:noHBand="0" w:noVBand="1"/>
      </w:tblPr>
      <w:tblGrid>
        <w:gridCol w:w="3008"/>
        <w:gridCol w:w="2356"/>
        <w:gridCol w:w="3662"/>
        <w:gridCol w:w="147"/>
      </w:tblGrid>
      <w:tr w:rsidR="0058295F" w:rsidRPr="00A84647" w14:paraId="0CBE66B6" w14:textId="77777777" w:rsidTr="00FF3DA5">
        <w:trPr>
          <w:gridAfter w:val="1"/>
          <w:wAfter w:w="147" w:type="dxa"/>
        </w:trPr>
        <w:tc>
          <w:tcPr>
            <w:tcW w:w="3008" w:type="dxa"/>
            <w:shd w:val="clear" w:color="auto" w:fill="auto"/>
          </w:tcPr>
          <w:p w14:paraId="61F9C8CF" w14:textId="77777777" w:rsidR="0058295F" w:rsidRPr="00A84647" w:rsidRDefault="0058295F" w:rsidP="00474032">
            <w:pPr>
              <w:spacing w:before="120" w:after="120"/>
              <w:jc w:val="both"/>
              <w:rPr>
                <w:rFonts w:cs="Tahoma"/>
                <w:szCs w:val="18"/>
              </w:rPr>
            </w:pPr>
            <w:r w:rsidRPr="00A84647">
              <w:rPr>
                <w:rFonts w:cs="Tahoma"/>
                <w:szCs w:val="18"/>
              </w:rPr>
              <w:t>Sabiedrības nosaukums</w:t>
            </w:r>
          </w:p>
        </w:tc>
        <w:tc>
          <w:tcPr>
            <w:tcW w:w="6018" w:type="dxa"/>
            <w:gridSpan w:val="2"/>
            <w:shd w:val="clear" w:color="auto" w:fill="auto"/>
          </w:tcPr>
          <w:p w14:paraId="4699938D" w14:textId="77777777" w:rsidR="0058295F" w:rsidRPr="00A84647" w:rsidRDefault="0058295F" w:rsidP="0014726B">
            <w:pPr>
              <w:spacing w:before="120" w:after="120"/>
              <w:jc w:val="both"/>
              <w:rPr>
                <w:rFonts w:cs="Tahoma"/>
                <w:szCs w:val="18"/>
              </w:rPr>
            </w:pPr>
            <w:r w:rsidRPr="00A84647">
              <w:rPr>
                <w:rFonts w:cs="Tahoma"/>
                <w:szCs w:val="18"/>
              </w:rPr>
              <w:t>Sabiedrība ar ierobežotu atbildību “</w:t>
            </w:r>
            <w:r w:rsidR="0014726B">
              <w:rPr>
                <w:rFonts w:cs="Tahoma"/>
                <w:szCs w:val="18"/>
              </w:rPr>
              <w:t>Limbažu slimnīca”</w:t>
            </w:r>
          </w:p>
        </w:tc>
      </w:tr>
      <w:tr w:rsidR="0058295F" w:rsidRPr="00A84647" w14:paraId="322D128F" w14:textId="77777777" w:rsidTr="00FF3DA5">
        <w:trPr>
          <w:gridAfter w:val="1"/>
          <w:wAfter w:w="147" w:type="dxa"/>
        </w:trPr>
        <w:tc>
          <w:tcPr>
            <w:tcW w:w="3008" w:type="dxa"/>
            <w:shd w:val="clear" w:color="auto" w:fill="auto"/>
          </w:tcPr>
          <w:p w14:paraId="7F770976" w14:textId="77777777" w:rsidR="0058295F" w:rsidRPr="00A84647" w:rsidRDefault="0058295F" w:rsidP="00474032">
            <w:pPr>
              <w:spacing w:before="120" w:after="120"/>
              <w:jc w:val="both"/>
              <w:rPr>
                <w:rFonts w:cs="Tahoma"/>
                <w:szCs w:val="18"/>
              </w:rPr>
            </w:pPr>
            <w:r w:rsidRPr="00A84647">
              <w:rPr>
                <w:rFonts w:cs="Tahoma"/>
                <w:szCs w:val="18"/>
              </w:rPr>
              <w:t>Sabiedrības juridiskais statuss</w:t>
            </w:r>
          </w:p>
        </w:tc>
        <w:tc>
          <w:tcPr>
            <w:tcW w:w="6018" w:type="dxa"/>
            <w:gridSpan w:val="2"/>
            <w:shd w:val="clear" w:color="auto" w:fill="auto"/>
          </w:tcPr>
          <w:p w14:paraId="14B300A9" w14:textId="77777777" w:rsidR="0058295F" w:rsidRPr="00A84647" w:rsidRDefault="0058295F" w:rsidP="00474032">
            <w:pPr>
              <w:spacing w:before="120" w:after="120"/>
              <w:jc w:val="both"/>
              <w:rPr>
                <w:rFonts w:cs="Tahoma"/>
                <w:szCs w:val="18"/>
              </w:rPr>
            </w:pPr>
            <w:r w:rsidRPr="00A84647">
              <w:rPr>
                <w:rFonts w:cs="Tahoma"/>
                <w:szCs w:val="18"/>
              </w:rPr>
              <w:t>Sabiedrība ar ierobežotu atbildību</w:t>
            </w:r>
          </w:p>
        </w:tc>
      </w:tr>
      <w:tr w:rsidR="0058295F" w:rsidRPr="00A84647" w14:paraId="4AF9DADC" w14:textId="77777777" w:rsidTr="00FF3DA5">
        <w:trPr>
          <w:gridAfter w:val="1"/>
          <w:wAfter w:w="147" w:type="dxa"/>
        </w:trPr>
        <w:tc>
          <w:tcPr>
            <w:tcW w:w="3008" w:type="dxa"/>
            <w:shd w:val="clear" w:color="auto" w:fill="auto"/>
          </w:tcPr>
          <w:p w14:paraId="557A8B06" w14:textId="77777777" w:rsidR="00FF3DA5" w:rsidRDefault="00FF3DA5" w:rsidP="00FF3DA5">
            <w:pPr>
              <w:spacing w:after="0"/>
              <w:jc w:val="both"/>
              <w:rPr>
                <w:rFonts w:cs="Tahoma"/>
                <w:szCs w:val="18"/>
              </w:rPr>
            </w:pPr>
            <w:r>
              <w:rPr>
                <w:rFonts w:cs="Tahoma"/>
                <w:szCs w:val="18"/>
              </w:rPr>
              <w:t xml:space="preserve">Reģistrācijas </w:t>
            </w:r>
            <w:r w:rsidRPr="008941FE">
              <w:rPr>
                <w:rFonts w:cs="Tahoma"/>
                <w:szCs w:val="18"/>
              </w:rPr>
              <w:t>numurs</w:t>
            </w:r>
            <w:r w:rsidR="0058295F" w:rsidRPr="008941FE">
              <w:rPr>
                <w:rFonts w:cs="Tahoma"/>
                <w:szCs w:val="18"/>
              </w:rPr>
              <w:t>,</w:t>
            </w:r>
            <w:r w:rsidR="0058295F" w:rsidRPr="00A84647">
              <w:rPr>
                <w:rFonts w:cs="Tahoma"/>
                <w:szCs w:val="18"/>
              </w:rPr>
              <w:t xml:space="preserve"> </w:t>
            </w:r>
          </w:p>
          <w:p w14:paraId="062DD683" w14:textId="59345A97" w:rsidR="0058295F" w:rsidRPr="00A84647" w:rsidRDefault="0058295F" w:rsidP="00FF3DA5">
            <w:pPr>
              <w:spacing w:after="0"/>
              <w:jc w:val="both"/>
              <w:rPr>
                <w:rFonts w:cs="Tahoma"/>
                <w:szCs w:val="18"/>
              </w:rPr>
            </w:pPr>
            <w:r w:rsidRPr="00A84647">
              <w:rPr>
                <w:rFonts w:cs="Tahoma"/>
                <w:szCs w:val="18"/>
              </w:rPr>
              <w:t>vieta un datums</w:t>
            </w:r>
          </w:p>
        </w:tc>
        <w:tc>
          <w:tcPr>
            <w:tcW w:w="6018" w:type="dxa"/>
            <w:gridSpan w:val="2"/>
            <w:shd w:val="clear" w:color="auto" w:fill="auto"/>
          </w:tcPr>
          <w:p w14:paraId="278B1BE9" w14:textId="77777777" w:rsidR="001C6EE1" w:rsidRPr="001C6EE1" w:rsidRDefault="0014726B" w:rsidP="001C6EE1">
            <w:pPr>
              <w:spacing w:after="0" w:line="240" w:lineRule="atLeast"/>
              <w:rPr>
                <w:rFonts w:eastAsia="Times New Roman" w:cs="Tahoma"/>
                <w:szCs w:val="18"/>
                <w:lang w:eastAsia="en-US"/>
              </w:rPr>
            </w:pPr>
            <w:r>
              <w:rPr>
                <w:rFonts w:eastAsia="Times New Roman" w:cs="Tahoma"/>
                <w:szCs w:val="18"/>
                <w:lang w:eastAsia="en-US"/>
              </w:rPr>
              <w:t>40003361616</w:t>
            </w:r>
          </w:p>
          <w:p w14:paraId="1EBA7597" w14:textId="77777777" w:rsidR="001C6EE1" w:rsidRPr="001C6EE1" w:rsidRDefault="0014726B" w:rsidP="001C6EE1">
            <w:pPr>
              <w:spacing w:after="0" w:line="240" w:lineRule="atLeast"/>
              <w:rPr>
                <w:rFonts w:eastAsia="Times New Roman" w:cs="Tahoma"/>
                <w:szCs w:val="18"/>
                <w:lang w:eastAsia="en-US"/>
              </w:rPr>
            </w:pPr>
            <w:r>
              <w:rPr>
                <w:rFonts w:eastAsia="Times New Roman" w:cs="Tahoma"/>
                <w:szCs w:val="18"/>
                <w:lang w:eastAsia="en-US"/>
              </w:rPr>
              <w:t>Limbaži</w:t>
            </w:r>
            <w:r w:rsidR="001C6EE1" w:rsidRPr="001C6EE1">
              <w:rPr>
                <w:rFonts w:eastAsia="Times New Roman" w:cs="Tahoma"/>
                <w:szCs w:val="18"/>
                <w:lang w:eastAsia="en-US"/>
              </w:rPr>
              <w:t xml:space="preserve">, </w:t>
            </w:r>
            <w:r>
              <w:rPr>
                <w:rFonts w:eastAsia="Times New Roman" w:cs="Tahoma"/>
                <w:szCs w:val="18"/>
                <w:lang w:eastAsia="en-US"/>
              </w:rPr>
              <w:t>2004</w:t>
            </w:r>
            <w:r w:rsidR="001C6EE1" w:rsidRPr="001C6EE1">
              <w:rPr>
                <w:rFonts w:eastAsia="Times New Roman" w:cs="Tahoma"/>
                <w:szCs w:val="18"/>
                <w:lang w:eastAsia="en-US"/>
              </w:rPr>
              <w:t xml:space="preserve">. gada </w:t>
            </w:r>
            <w:r>
              <w:rPr>
                <w:rFonts w:eastAsia="Times New Roman" w:cs="Tahoma"/>
                <w:szCs w:val="18"/>
                <w:lang w:eastAsia="en-US"/>
              </w:rPr>
              <w:t>24</w:t>
            </w:r>
            <w:r w:rsidR="001C6EE1" w:rsidRPr="001C6EE1">
              <w:rPr>
                <w:rFonts w:eastAsia="Times New Roman" w:cs="Tahoma"/>
                <w:szCs w:val="18"/>
                <w:lang w:eastAsia="en-US"/>
              </w:rPr>
              <w:t xml:space="preserve">. </w:t>
            </w:r>
            <w:r>
              <w:rPr>
                <w:rFonts w:eastAsia="Times New Roman" w:cs="Tahoma"/>
                <w:szCs w:val="18"/>
                <w:lang w:eastAsia="en-US"/>
              </w:rPr>
              <w:t>decembris</w:t>
            </w:r>
          </w:p>
          <w:p w14:paraId="723DE151" w14:textId="77777777" w:rsidR="0058295F" w:rsidRPr="001C6EE1" w:rsidRDefault="0058295F" w:rsidP="001C6EE1">
            <w:pPr>
              <w:spacing w:after="0"/>
              <w:jc w:val="both"/>
              <w:rPr>
                <w:rFonts w:cs="Tahoma"/>
                <w:szCs w:val="18"/>
              </w:rPr>
            </w:pPr>
          </w:p>
        </w:tc>
      </w:tr>
      <w:tr w:rsidR="0058295F" w:rsidRPr="00A84647" w14:paraId="13D81B11" w14:textId="77777777" w:rsidTr="00FF3DA5">
        <w:trPr>
          <w:gridAfter w:val="1"/>
          <w:wAfter w:w="147" w:type="dxa"/>
        </w:trPr>
        <w:tc>
          <w:tcPr>
            <w:tcW w:w="3008" w:type="dxa"/>
            <w:shd w:val="clear" w:color="auto" w:fill="auto"/>
          </w:tcPr>
          <w:p w14:paraId="6E4DFC44" w14:textId="77777777" w:rsidR="0058295F" w:rsidRPr="00A84647" w:rsidRDefault="0058295F" w:rsidP="00474032">
            <w:pPr>
              <w:spacing w:before="120" w:after="120"/>
              <w:jc w:val="both"/>
              <w:rPr>
                <w:rFonts w:cs="Tahoma"/>
                <w:szCs w:val="18"/>
              </w:rPr>
            </w:pPr>
            <w:r w:rsidRPr="00A84647">
              <w:rPr>
                <w:rFonts w:cs="Tahoma"/>
                <w:szCs w:val="18"/>
              </w:rPr>
              <w:t>Juridiskā adrese</w:t>
            </w:r>
          </w:p>
        </w:tc>
        <w:tc>
          <w:tcPr>
            <w:tcW w:w="6018" w:type="dxa"/>
            <w:gridSpan w:val="2"/>
            <w:shd w:val="clear" w:color="auto" w:fill="auto"/>
          </w:tcPr>
          <w:p w14:paraId="40D3AE72" w14:textId="489BF15B" w:rsidR="0058295F" w:rsidRPr="00A84647" w:rsidRDefault="0014726B" w:rsidP="00EE666D">
            <w:pPr>
              <w:spacing w:before="120" w:after="0"/>
              <w:jc w:val="both"/>
              <w:rPr>
                <w:rFonts w:cs="Tahoma"/>
                <w:szCs w:val="18"/>
              </w:rPr>
            </w:pPr>
            <w:r>
              <w:rPr>
                <w:rFonts w:cs="Tahoma"/>
                <w:szCs w:val="18"/>
              </w:rPr>
              <w:t>Klostera iela 3, Limbaži,</w:t>
            </w:r>
            <w:r w:rsidR="007F7069">
              <w:rPr>
                <w:rFonts w:cs="Tahoma"/>
                <w:szCs w:val="18"/>
              </w:rPr>
              <w:t xml:space="preserve"> </w:t>
            </w:r>
            <w:r w:rsidR="007F7069" w:rsidRPr="00544870">
              <w:rPr>
                <w:rFonts w:cs="Tahoma"/>
                <w:szCs w:val="18"/>
              </w:rPr>
              <w:t>Limbažu nov.,</w:t>
            </w:r>
            <w:r w:rsidR="007F7069">
              <w:rPr>
                <w:rFonts w:cs="Tahoma"/>
                <w:szCs w:val="18"/>
              </w:rPr>
              <w:t xml:space="preserve"> </w:t>
            </w:r>
            <w:r>
              <w:rPr>
                <w:rFonts w:cs="Tahoma"/>
                <w:szCs w:val="18"/>
              </w:rPr>
              <w:t>LV-4001</w:t>
            </w:r>
          </w:p>
        </w:tc>
      </w:tr>
      <w:tr w:rsidR="000275EA" w:rsidRPr="00A84647" w14:paraId="54ACA2E7" w14:textId="77777777" w:rsidTr="0029177B">
        <w:trPr>
          <w:trHeight w:val="854"/>
        </w:trPr>
        <w:tc>
          <w:tcPr>
            <w:tcW w:w="3008" w:type="dxa"/>
            <w:shd w:val="clear" w:color="auto" w:fill="auto"/>
          </w:tcPr>
          <w:p w14:paraId="649311DF" w14:textId="77777777" w:rsidR="0058295F" w:rsidRPr="00A84647" w:rsidRDefault="0058295F" w:rsidP="00474032">
            <w:pPr>
              <w:spacing w:before="120" w:after="120"/>
              <w:jc w:val="both"/>
              <w:rPr>
                <w:rFonts w:cs="Tahoma"/>
                <w:szCs w:val="18"/>
              </w:rPr>
            </w:pPr>
            <w:r w:rsidRPr="00A84647">
              <w:rPr>
                <w:rFonts w:cs="Tahoma"/>
                <w:szCs w:val="18"/>
              </w:rPr>
              <w:t>Valdes sastāvs</w:t>
            </w:r>
          </w:p>
        </w:tc>
        <w:tc>
          <w:tcPr>
            <w:tcW w:w="2356" w:type="dxa"/>
            <w:shd w:val="clear" w:color="auto" w:fill="auto"/>
          </w:tcPr>
          <w:p w14:paraId="461A2A9F" w14:textId="77777777" w:rsidR="0058295F" w:rsidRDefault="00EE666D" w:rsidP="00E35135">
            <w:pPr>
              <w:spacing w:before="120" w:after="0"/>
              <w:rPr>
                <w:rFonts w:cs="Tahoma"/>
                <w:szCs w:val="18"/>
              </w:rPr>
            </w:pPr>
            <w:r>
              <w:rPr>
                <w:rFonts w:cs="Tahoma"/>
                <w:szCs w:val="18"/>
              </w:rPr>
              <w:t>Gunta Ozola</w:t>
            </w:r>
          </w:p>
          <w:p w14:paraId="792188C7" w14:textId="2BF62D80" w:rsidR="0083127C" w:rsidRPr="00A84647" w:rsidRDefault="0083127C" w:rsidP="00E35135">
            <w:pPr>
              <w:spacing w:before="120" w:after="0"/>
              <w:rPr>
                <w:rFonts w:cs="Tahoma"/>
                <w:szCs w:val="18"/>
              </w:rPr>
            </w:pPr>
            <w:r>
              <w:rPr>
                <w:rFonts w:cs="Tahoma"/>
                <w:szCs w:val="18"/>
              </w:rPr>
              <w:t>Liene Česle</w:t>
            </w:r>
          </w:p>
        </w:tc>
        <w:tc>
          <w:tcPr>
            <w:tcW w:w="3809" w:type="dxa"/>
            <w:gridSpan w:val="2"/>
            <w:shd w:val="clear" w:color="auto" w:fill="auto"/>
          </w:tcPr>
          <w:p w14:paraId="442A3F96" w14:textId="23D645B8" w:rsidR="0083127C" w:rsidRPr="00A84647" w:rsidRDefault="0058295F" w:rsidP="00E35135">
            <w:pPr>
              <w:spacing w:before="120" w:after="0"/>
              <w:rPr>
                <w:rFonts w:cs="Tahoma"/>
                <w:szCs w:val="18"/>
              </w:rPr>
            </w:pPr>
            <w:r w:rsidRPr="00A84647">
              <w:rPr>
                <w:rFonts w:cs="Tahoma"/>
                <w:szCs w:val="18"/>
              </w:rPr>
              <w:t xml:space="preserve">valdes </w:t>
            </w:r>
            <w:r w:rsidR="00EE666D">
              <w:rPr>
                <w:rFonts w:cs="Tahoma"/>
                <w:szCs w:val="18"/>
              </w:rPr>
              <w:t>locekle</w:t>
            </w:r>
            <w:r w:rsidR="0083127C">
              <w:rPr>
                <w:rFonts w:cs="Tahoma"/>
                <w:szCs w:val="18"/>
              </w:rPr>
              <w:t xml:space="preserve"> līdz 16.06.2022.</w:t>
            </w:r>
          </w:p>
          <w:p w14:paraId="25F57595" w14:textId="42DDEC8F" w:rsidR="0058295F" w:rsidRPr="00A84647" w:rsidRDefault="0083127C" w:rsidP="0083127C">
            <w:pPr>
              <w:spacing w:before="120" w:after="0"/>
              <w:rPr>
                <w:rFonts w:cs="Tahoma"/>
                <w:szCs w:val="18"/>
              </w:rPr>
            </w:pPr>
            <w:r>
              <w:rPr>
                <w:rFonts w:cs="Tahoma"/>
                <w:szCs w:val="18"/>
              </w:rPr>
              <w:t>valdes locekle  no 17.07.2022.</w:t>
            </w:r>
          </w:p>
        </w:tc>
      </w:tr>
      <w:tr w:rsidR="003B4F8D" w:rsidRPr="00A84647" w14:paraId="36972773" w14:textId="77777777" w:rsidTr="0029177B">
        <w:tc>
          <w:tcPr>
            <w:tcW w:w="3008" w:type="dxa"/>
            <w:shd w:val="clear" w:color="auto" w:fill="auto"/>
          </w:tcPr>
          <w:p w14:paraId="443C80E4" w14:textId="10D2013F" w:rsidR="003B4F8D" w:rsidRPr="00544870" w:rsidRDefault="003B4F8D" w:rsidP="003B4F8D">
            <w:pPr>
              <w:spacing w:before="120" w:after="120"/>
              <w:jc w:val="both"/>
              <w:rPr>
                <w:rFonts w:cs="Tahoma"/>
                <w:szCs w:val="18"/>
              </w:rPr>
            </w:pPr>
            <w:r w:rsidRPr="00544870">
              <w:rPr>
                <w:rFonts w:cs="Tahoma"/>
                <w:szCs w:val="18"/>
              </w:rPr>
              <w:t xml:space="preserve">Dalībnieki </w:t>
            </w:r>
          </w:p>
          <w:p w14:paraId="31440348" w14:textId="77777777" w:rsidR="003B4F8D" w:rsidRPr="00544870" w:rsidRDefault="003B4F8D" w:rsidP="003B4F8D">
            <w:pPr>
              <w:rPr>
                <w:rFonts w:cs="Tahoma"/>
                <w:szCs w:val="18"/>
              </w:rPr>
            </w:pPr>
          </w:p>
          <w:p w14:paraId="139BFCB6" w14:textId="77777777" w:rsidR="003B4F8D" w:rsidRPr="00544870" w:rsidRDefault="003B4F8D" w:rsidP="003B4F8D">
            <w:pPr>
              <w:rPr>
                <w:rFonts w:cs="Tahoma"/>
                <w:szCs w:val="18"/>
              </w:rPr>
            </w:pPr>
          </w:p>
          <w:p w14:paraId="7D5FC4A4" w14:textId="77777777" w:rsidR="003B4F8D" w:rsidRPr="00544870" w:rsidRDefault="003B4F8D" w:rsidP="003B4F8D">
            <w:pPr>
              <w:rPr>
                <w:rFonts w:cs="Tahoma"/>
                <w:szCs w:val="18"/>
              </w:rPr>
            </w:pPr>
          </w:p>
          <w:p w14:paraId="6BD2D20A" w14:textId="77777777" w:rsidR="003B4F8D" w:rsidRPr="00544870" w:rsidRDefault="003B4F8D" w:rsidP="003B4F8D">
            <w:pPr>
              <w:rPr>
                <w:rFonts w:cs="Tahoma"/>
                <w:szCs w:val="18"/>
              </w:rPr>
            </w:pPr>
          </w:p>
          <w:p w14:paraId="0E46F1AC" w14:textId="77777777" w:rsidR="003B4F8D" w:rsidRPr="00544870" w:rsidRDefault="003B4F8D" w:rsidP="003B4F8D">
            <w:pPr>
              <w:rPr>
                <w:rFonts w:cs="Tahoma"/>
                <w:szCs w:val="18"/>
              </w:rPr>
            </w:pPr>
          </w:p>
          <w:p w14:paraId="7DF26695" w14:textId="63868F26" w:rsidR="003B4F8D" w:rsidRPr="00544870" w:rsidRDefault="003B4F8D" w:rsidP="003B4F8D">
            <w:pPr>
              <w:rPr>
                <w:rFonts w:cs="Tahoma"/>
                <w:szCs w:val="18"/>
              </w:rPr>
            </w:pPr>
          </w:p>
        </w:tc>
        <w:tc>
          <w:tcPr>
            <w:tcW w:w="2356" w:type="dxa"/>
            <w:tcBorders>
              <w:bottom w:val="single" w:sz="4" w:space="0" w:color="auto"/>
            </w:tcBorders>
            <w:shd w:val="clear" w:color="auto" w:fill="auto"/>
          </w:tcPr>
          <w:p w14:paraId="6B8E99C1" w14:textId="77777777" w:rsidR="003B4F8D" w:rsidRPr="0029177B" w:rsidRDefault="003B4F8D" w:rsidP="003B4F8D">
            <w:pPr>
              <w:spacing w:before="120" w:after="0"/>
              <w:rPr>
                <w:rFonts w:cs="Tahoma"/>
                <w:i/>
                <w:szCs w:val="18"/>
              </w:rPr>
            </w:pPr>
            <w:r w:rsidRPr="00544870">
              <w:rPr>
                <w:rFonts w:cs="Tahoma"/>
                <w:szCs w:val="18"/>
              </w:rPr>
              <w:t>Limbažu novada pašvaldība</w:t>
            </w:r>
          </w:p>
          <w:p w14:paraId="58AD673D" w14:textId="77777777" w:rsidR="003B4F8D" w:rsidRPr="00544870" w:rsidRDefault="003B4F8D" w:rsidP="003B4F8D">
            <w:pPr>
              <w:spacing w:before="120" w:after="0"/>
              <w:rPr>
                <w:rFonts w:cs="Tahoma"/>
                <w:szCs w:val="18"/>
              </w:rPr>
            </w:pPr>
            <w:r w:rsidRPr="00544870">
              <w:rPr>
                <w:rFonts w:cs="Tahoma"/>
                <w:szCs w:val="18"/>
              </w:rPr>
              <w:t>Siguldas novada pašvaldība</w:t>
            </w:r>
          </w:p>
          <w:p w14:paraId="0F5E7F2E" w14:textId="77777777" w:rsidR="003B4F8D" w:rsidRDefault="003B4F8D" w:rsidP="003B4F8D">
            <w:pPr>
              <w:spacing w:before="120" w:after="0"/>
              <w:rPr>
                <w:rFonts w:cs="Tahoma"/>
                <w:iCs/>
                <w:szCs w:val="18"/>
              </w:rPr>
            </w:pPr>
          </w:p>
          <w:p w14:paraId="6DF7FCA9" w14:textId="75B69CD2" w:rsidR="003B4F8D" w:rsidRPr="003B4F8D" w:rsidRDefault="003B4F8D" w:rsidP="003B4F8D">
            <w:pPr>
              <w:spacing w:before="120" w:after="0"/>
              <w:rPr>
                <w:rFonts w:cs="Tahoma"/>
                <w:iCs/>
                <w:szCs w:val="18"/>
              </w:rPr>
            </w:pPr>
          </w:p>
        </w:tc>
        <w:tc>
          <w:tcPr>
            <w:tcW w:w="3809" w:type="dxa"/>
            <w:gridSpan w:val="2"/>
            <w:tcBorders>
              <w:bottom w:val="single" w:sz="4" w:space="0" w:color="auto"/>
            </w:tcBorders>
            <w:shd w:val="clear" w:color="auto" w:fill="auto"/>
          </w:tcPr>
          <w:p w14:paraId="3741D064" w14:textId="05830BEB" w:rsidR="003B4F8D" w:rsidRPr="00544870" w:rsidRDefault="003B4F8D" w:rsidP="003B4F8D">
            <w:pPr>
              <w:spacing w:before="120" w:after="0"/>
              <w:jc w:val="both"/>
              <w:rPr>
                <w:rFonts w:cs="Tahoma"/>
                <w:szCs w:val="18"/>
              </w:rPr>
            </w:pPr>
            <w:r>
              <w:rPr>
                <w:rFonts w:cs="Tahoma"/>
                <w:szCs w:val="18"/>
              </w:rPr>
              <w:t>95.91172 %  no  27.05.2022</w:t>
            </w:r>
            <w:r w:rsidR="001653C4">
              <w:rPr>
                <w:rFonts w:cs="Tahoma"/>
                <w:szCs w:val="18"/>
              </w:rPr>
              <w:t>.</w:t>
            </w:r>
            <w:r w:rsidR="0023533C">
              <w:rPr>
                <w:rFonts w:cs="Tahoma"/>
                <w:szCs w:val="18"/>
              </w:rPr>
              <w:t>(</w:t>
            </w:r>
            <w:r w:rsidR="00453EA9">
              <w:rPr>
                <w:rFonts w:cs="Tahoma"/>
                <w:szCs w:val="18"/>
              </w:rPr>
              <w:t xml:space="preserve">95.83493 % </w:t>
            </w:r>
            <w:r w:rsidR="0023533C">
              <w:rPr>
                <w:rFonts w:cs="Tahoma"/>
                <w:szCs w:val="18"/>
              </w:rPr>
              <w:t>līdz</w:t>
            </w:r>
            <w:r w:rsidR="00453EA9">
              <w:rPr>
                <w:rFonts w:cs="Tahoma"/>
                <w:szCs w:val="18"/>
              </w:rPr>
              <w:t xml:space="preserve"> 26.05.2022.) </w:t>
            </w:r>
            <w:r w:rsidR="0023533C">
              <w:rPr>
                <w:rFonts w:cs="Tahoma"/>
                <w:szCs w:val="18"/>
              </w:rPr>
              <w:t xml:space="preserve"> </w:t>
            </w:r>
          </w:p>
          <w:p w14:paraId="72E46D82" w14:textId="77777777" w:rsidR="003B4F8D" w:rsidRPr="00544870" w:rsidRDefault="003B4F8D" w:rsidP="003B4F8D">
            <w:pPr>
              <w:spacing w:after="0"/>
              <w:jc w:val="both"/>
              <w:rPr>
                <w:rFonts w:cs="Tahoma"/>
                <w:i/>
                <w:szCs w:val="18"/>
              </w:rPr>
            </w:pPr>
          </w:p>
          <w:p w14:paraId="404A049F" w14:textId="62F1BD5E" w:rsidR="003B4F8D" w:rsidRPr="00544870" w:rsidRDefault="003B4F8D" w:rsidP="003B4F8D">
            <w:pPr>
              <w:spacing w:before="120" w:after="0"/>
              <w:jc w:val="both"/>
              <w:rPr>
                <w:rFonts w:cs="Tahoma"/>
                <w:szCs w:val="18"/>
              </w:rPr>
            </w:pPr>
            <w:r>
              <w:rPr>
                <w:rFonts w:cs="Tahoma"/>
                <w:szCs w:val="18"/>
              </w:rPr>
              <w:t xml:space="preserve">  4.08828</w:t>
            </w:r>
            <w:r w:rsidRPr="00544870">
              <w:rPr>
                <w:rFonts w:cs="Tahoma"/>
                <w:szCs w:val="18"/>
              </w:rPr>
              <w:t xml:space="preserve"> %</w:t>
            </w:r>
            <w:r>
              <w:rPr>
                <w:rFonts w:cs="Tahoma"/>
                <w:szCs w:val="18"/>
              </w:rPr>
              <w:t xml:space="preserve">  no  27.05.2022.</w:t>
            </w:r>
            <w:r w:rsidR="00453EA9">
              <w:rPr>
                <w:rFonts w:cs="Tahoma"/>
                <w:szCs w:val="18"/>
              </w:rPr>
              <w:t>(4.16507 %</w:t>
            </w:r>
            <w:r w:rsidR="001653C4">
              <w:rPr>
                <w:rFonts w:cs="Tahoma"/>
                <w:szCs w:val="18"/>
              </w:rPr>
              <w:t xml:space="preserve"> </w:t>
            </w:r>
            <w:r w:rsidR="00453EA9">
              <w:rPr>
                <w:rFonts w:cs="Tahoma"/>
                <w:szCs w:val="18"/>
              </w:rPr>
              <w:t xml:space="preserve"> līdz </w:t>
            </w:r>
            <w:r w:rsidR="001653C4">
              <w:rPr>
                <w:rFonts w:cs="Tahoma"/>
                <w:szCs w:val="18"/>
              </w:rPr>
              <w:t xml:space="preserve">  </w:t>
            </w:r>
            <w:r w:rsidR="00453EA9">
              <w:rPr>
                <w:rFonts w:cs="Tahoma"/>
                <w:szCs w:val="18"/>
              </w:rPr>
              <w:t>26.05.2022.)</w:t>
            </w:r>
          </w:p>
          <w:p w14:paraId="72A00CEB" w14:textId="77777777" w:rsidR="003B4F8D" w:rsidRPr="00544870" w:rsidRDefault="003B4F8D" w:rsidP="003B4F8D">
            <w:pPr>
              <w:spacing w:before="120" w:after="0"/>
              <w:jc w:val="both"/>
              <w:rPr>
                <w:rFonts w:cs="Tahoma"/>
                <w:szCs w:val="18"/>
              </w:rPr>
            </w:pPr>
          </w:p>
          <w:p w14:paraId="011C8651" w14:textId="77777777" w:rsidR="003B4F8D" w:rsidRPr="00544870" w:rsidRDefault="003B4F8D" w:rsidP="003B4F8D">
            <w:pPr>
              <w:spacing w:after="120"/>
              <w:jc w:val="both"/>
              <w:rPr>
                <w:rFonts w:cs="Tahoma"/>
                <w:szCs w:val="18"/>
              </w:rPr>
            </w:pPr>
          </w:p>
          <w:p w14:paraId="6A4A11BB" w14:textId="0FAD417B" w:rsidR="003B4F8D" w:rsidRPr="00544870" w:rsidRDefault="003B4F8D" w:rsidP="003B4F8D">
            <w:pPr>
              <w:spacing w:after="120"/>
              <w:jc w:val="both"/>
              <w:rPr>
                <w:rFonts w:cs="Tahoma"/>
                <w:szCs w:val="18"/>
              </w:rPr>
            </w:pPr>
          </w:p>
        </w:tc>
      </w:tr>
      <w:tr w:rsidR="003B4F8D" w:rsidRPr="00A84647" w14:paraId="3B34E5B6" w14:textId="77777777" w:rsidTr="0029177B">
        <w:tc>
          <w:tcPr>
            <w:tcW w:w="3008" w:type="dxa"/>
            <w:shd w:val="clear" w:color="auto" w:fill="auto"/>
          </w:tcPr>
          <w:p w14:paraId="5FD12B8F" w14:textId="77777777" w:rsidR="003B4F8D" w:rsidRPr="00AC793F" w:rsidRDefault="003B4F8D" w:rsidP="003B4F8D">
            <w:pPr>
              <w:spacing w:before="120" w:after="120"/>
              <w:jc w:val="both"/>
              <w:rPr>
                <w:rFonts w:cs="Tahoma"/>
                <w:szCs w:val="18"/>
              </w:rPr>
            </w:pPr>
            <w:r w:rsidRPr="00AC793F">
              <w:rPr>
                <w:rFonts w:cs="Tahoma"/>
                <w:szCs w:val="18"/>
              </w:rPr>
              <w:t>Gada pārskatu sagatavoja</w:t>
            </w:r>
          </w:p>
        </w:tc>
        <w:tc>
          <w:tcPr>
            <w:tcW w:w="2356" w:type="dxa"/>
            <w:tcBorders>
              <w:top w:val="single" w:sz="4" w:space="0" w:color="auto"/>
            </w:tcBorders>
            <w:shd w:val="clear" w:color="auto" w:fill="auto"/>
          </w:tcPr>
          <w:p w14:paraId="76810368" w14:textId="3025277F" w:rsidR="003B4F8D" w:rsidRPr="00AC793F" w:rsidRDefault="003B4F8D" w:rsidP="003B4F8D">
            <w:pPr>
              <w:spacing w:before="120" w:after="0"/>
              <w:rPr>
                <w:rFonts w:cs="Tahoma"/>
                <w:szCs w:val="18"/>
              </w:rPr>
            </w:pPr>
            <w:r w:rsidRPr="00AC793F">
              <w:rPr>
                <w:rFonts w:cs="Tahoma"/>
                <w:szCs w:val="18"/>
              </w:rPr>
              <w:t>Irisa Agapova</w:t>
            </w:r>
          </w:p>
        </w:tc>
        <w:tc>
          <w:tcPr>
            <w:tcW w:w="3809" w:type="dxa"/>
            <w:gridSpan w:val="2"/>
            <w:tcBorders>
              <w:top w:val="single" w:sz="4" w:space="0" w:color="auto"/>
            </w:tcBorders>
            <w:shd w:val="clear" w:color="auto" w:fill="auto"/>
          </w:tcPr>
          <w:p w14:paraId="4E6CB3A7" w14:textId="2BBDD2A6" w:rsidR="003B4F8D" w:rsidRPr="00AC793F" w:rsidRDefault="003B4F8D" w:rsidP="003B4F8D">
            <w:pPr>
              <w:spacing w:before="120" w:after="0"/>
              <w:ind w:left="181" w:hanging="181"/>
              <w:jc w:val="both"/>
              <w:rPr>
                <w:rFonts w:cs="Tahoma"/>
                <w:szCs w:val="18"/>
              </w:rPr>
            </w:pPr>
            <w:r>
              <w:rPr>
                <w:rFonts w:cs="Tahoma"/>
                <w:szCs w:val="18"/>
              </w:rPr>
              <w:t>Galvenā grāmatvede</w:t>
            </w:r>
          </w:p>
        </w:tc>
      </w:tr>
      <w:tr w:rsidR="003B4F8D" w:rsidRPr="00A84647" w14:paraId="01D94CD9" w14:textId="77777777" w:rsidTr="00FF3DA5">
        <w:trPr>
          <w:gridAfter w:val="1"/>
          <w:wAfter w:w="147" w:type="dxa"/>
        </w:trPr>
        <w:tc>
          <w:tcPr>
            <w:tcW w:w="3008" w:type="dxa"/>
            <w:shd w:val="clear" w:color="auto" w:fill="auto"/>
          </w:tcPr>
          <w:p w14:paraId="775D3B00" w14:textId="77777777" w:rsidR="003B4F8D" w:rsidRPr="009331D4" w:rsidRDefault="003B4F8D" w:rsidP="003B4F8D">
            <w:pPr>
              <w:spacing w:before="120" w:after="120"/>
              <w:jc w:val="both"/>
              <w:rPr>
                <w:rFonts w:cs="Tahoma"/>
                <w:color w:val="FF0000"/>
                <w:szCs w:val="18"/>
              </w:rPr>
            </w:pPr>
            <w:r w:rsidRPr="006C78BD">
              <w:rPr>
                <w:rFonts w:cs="Tahoma"/>
                <w:szCs w:val="18"/>
              </w:rPr>
              <w:t xml:space="preserve">Darbības veids </w:t>
            </w:r>
          </w:p>
        </w:tc>
        <w:tc>
          <w:tcPr>
            <w:tcW w:w="6018" w:type="dxa"/>
            <w:gridSpan w:val="2"/>
            <w:shd w:val="clear" w:color="auto" w:fill="auto"/>
          </w:tcPr>
          <w:p w14:paraId="4EAD5E91" w14:textId="77777777" w:rsidR="003B4F8D" w:rsidRPr="00814CF9" w:rsidRDefault="003B4F8D" w:rsidP="003B4F8D">
            <w:pPr>
              <w:spacing w:before="120" w:after="120"/>
              <w:jc w:val="both"/>
              <w:rPr>
                <w:rFonts w:cs="Tahoma"/>
                <w:szCs w:val="18"/>
              </w:rPr>
            </w:pPr>
            <w:r w:rsidRPr="00814CF9">
              <w:rPr>
                <w:rFonts w:cs="Tahoma"/>
                <w:szCs w:val="18"/>
              </w:rPr>
              <w:t>Slimnīcas darbība (86.10 NACE 2.red.)</w:t>
            </w:r>
          </w:p>
          <w:p w14:paraId="6C11CC58" w14:textId="77777777" w:rsidR="003B4F8D" w:rsidRPr="00814CF9" w:rsidRDefault="003B4F8D" w:rsidP="003B4F8D">
            <w:pPr>
              <w:spacing w:before="120" w:after="120"/>
              <w:jc w:val="both"/>
              <w:rPr>
                <w:rFonts w:cs="Tahoma"/>
                <w:szCs w:val="18"/>
              </w:rPr>
            </w:pPr>
          </w:p>
        </w:tc>
      </w:tr>
      <w:tr w:rsidR="003B4F8D" w:rsidRPr="00A84647" w14:paraId="18E10148" w14:textId="77777777" w:rsidTr="00FF3DA5">
        <w:trPr>
          <w:gridAfter w:val="1"/>
          <w:wAfter w:w="147" w:type="dxa"/>
        </w:trPr>
        <w:tc>
          <w:tcPr>
            <w:tcW w:w="3008" w:type="dxa"/>
            <w:shd w:val="clear" w:color="auto" w:fill="auto"/>
          </w:tcPr>
          <w:p w14:paraId="0865E47F" w14:textId="0FD3EE23" w:rsidR="003B4F8D" w:rsidRPr="00A84647" w:rsidRDefault="003B4F8D" w:rsidP="003B4F8D">
            <w:pPr>
              <w:spacing w:before="120" w:after="120"/>
              <w:jc w:val="both"/>
              <w:rPr>
                <w:rFonts w:cs="Tahoma"/>
                <w:szCs w:val="18"/>
              </w:rPr>
            </w:pPr>
            <w:r w:rsidRPr="00A84647">
              <w:rPr>
                <w:rFonts w:cs="Tahoma"/>
                <w:szCs w:val="18"/>
              </w:rPr>
              <w:t xml:space="preserve">Pārskata </w:t>
            </w:r>
            <w:r>
              <w:rPr>
                <w:rFonts w:cs="Tahoma"/>
                <w:szCs w:val="18"/>
              </w:rPr>
              <w:t>periods</w:t>
            </w:r>
          </w:p>
        </w:tc>
        <w:tc>
          <w:tcPr>
            <w:tcW w:w="6018" w:type="dxa"/>
            <w:gridSpan w:val="2"/>
            <w:shd w:val="clear" w:color="auto" w:fill="auto"/>
          </w:tcPr>
          <w:p w14:paraId="47FB9070" w14:textId="65A2C834" w:rsidR="003B4F8D" w:rsidRPr="00814CF9" w:rsidRDefault="003B4F8D" w:rsidP="003B4F8D">
            <w:pPr>
              <w:spacing w:before="120" w:after="120"/>
              <w:jc w:val="both"/>
              <w:rPr>
                <w:rFonts w:cs="Tahoma"/>
                <w:szCs w:val="18"/>
              </w:rPr>
            </w:pPr>
            <w:r w:rsidRPr="00814CF9">
              <w:rPr>
                <w:rFonts w:cs="Tahoma"/>
                <w:szCs w:val="18"/>
              </w:rPr>
              <w:t>01.0</w:t>
            </w:r>
            <w:r>
              <w:rPr>
                <w:rFonts w:cs="Tahoma"/>
                <w:szCs w:val="18"/>
              </w:rPr>
              <w:t>4</w:t>
            </w:r>
            <w:r w:rsidRPr="00814CF9">
              <w:rPr>
                <w:rFonts w:cs="Tahoma"/>
                <w:szCs w:val="18"/>
              </w:rPr>
              <w:t>.20</w:t>
            </w:r>
            <w:r>
              <w:rPr>
                <w:rFonts w:cs="Tahoma"/>
                <w:szCs w:val="18"/>
              </w:rPr>
              <w:t>22</w:t>
            </w:r>
            <w:r w:rsidRPr="00814CF9">
              <w:rPr>
                <w:rFonts w:cs="Tahoma"/>
                <w:szCs w:val="18"/>
              </w:rPr>
              <w:t xml:space="preserve"> – 3</w:t>
            </w:r>
            <w:r>
              <w:rPr>
                <w:rFonts w:cs="Tahoma"/>
                <w:szCs w:val="18"/>
              </w:rPr>
              <w:t>0.06.2022.</w:t>
            </w:r>
          </w:p>
        </w:tc>
      </w:tr>
      <w:tr w:rsidR="003B4F8D" w:rsidRPr="00A84647" w14:paraId="7E2F1DD7" w14:textId="77777777" w:rsidTr="00FF3DA5">
        <w:trPr>
          <w:gridAfter w:val="1"/>
          <w:wAfter w:w="147" w:type="dxa"/>
        </w:trPr>
        <w:tc>
          <w:tcPr>
            <w:tcW w:w="3008" w:type="dxa"/>
            <w:shd w:val="clear" w:color="auto" w:fill="auto"/>
          </w:tcPr>
          <w:p w14:paraId="0AFAE13B" w14:textId="77777777" w:rsidR="003B4F8D" w:rsidRPr="00A84647" w:rsidRDefault="003B4F8D" w:rsidP="003B4F8D">
            <w:pPr>
              <w:spacing w:before="120" w:after="120"/>
              <w:jc w:val="both"/>
              <w:rPr>
                <w:rFonts w:cs="Tahoma"/>
                <w:szCs w:val="18"/>
              </w:rPr>
            </w:pPr>
            <w:r w:rsidRPr="00A84647">
              <w:rPr>
                <w:rFonts w:cs="Tahoma"/>
                <w:szCs w:val="18"/>
              </w:rPr>
              <w:t>Revidents</w:t>
            </w:r>
          </w:p>
        </w:tc>
        <w:tc>
          <w:tcPr>
            <w:tcW w:w="2356" w:type="dxa"/>
            <w:shd w:val="clear" w:color="auto" w:fill="auto"/>
          </w:tcPr>
          <w:p w14:paraId="559F3F24" w14:textId="77777777" w:rsidR="003B4F8D" w:rsidRPr="00E35135" w:rsidRDefault="003B4F8D" w:rsidP="003B4F8D">
            <w:pPr>
              <w:spacing w:before="120" w:after="0"/>
              <w:rPr>
                <w:rFonts w:cs="Tahoma"/>
                <w:szCs w:val="18"/>
              </w:rPr>
            </w:pPr>
            <w:r w:rsidRPr="00E35135">
              <w:rPr>
                <w:rFonts w:cs="Tahoma"/>
                <w:szCs w:val="18"/>
              </w:rPr>
              <w:t>Judīte Jakovina</w:t>
            </w:r>
          </w:p>
          <w:p w14:paraId="59463672" w14:textId="77777777" w:rsidR="003B4F8D" w:rsidRPr="00E35135" w:rsidRDefault="003B4F8D" w:rsidP="003B4F8D">
            <w:pPr>
              <w:spacing w:before="120" w:after="0"/>
              <w:rPr>
                <w:rFonts w:cs="Tahoma"/>
                <w:szCs w:val="18"/>
              </w:rPr>
            </w:pPr>
            <w:r w:rsidRPr="00E35135">
              <w:rPr>
                <w:rFonts w:cs="Tahoma"/>
                <w:szCs w:val="18"/>
              </w:rPr>
              <w:t>LR Zvērināts Revidents</w:t>
            </w:r>
          </w:p>
          <w:p w14:paraId="75A3A29B" w14:textId="77777777" w:rsidR="003B4F8D" w:rsidRPr="00A84647" w:rsidRDefault="003B4F8D" w:rsidP="003B4F8D">
            <w:pPr>
              <w:spacing w:after="120"/>
              <w:jc w:val="both"/>
              <w:rPr>
                <w:rFonts w:cs="Tahoma"/>
                <w:szCs w:val="18"/>
              </w:rPr>
            </w:pPr>
            <w:r w:rsidRPr="00E35135">
              <w:rPr>
                <w:rFonts w:cs="Tahoma"/>
                <w:szCs w:val="18"/>
              </w:rPr>
              <w:t>LZRA Sertifikāts Nr. 105</w:t>
            </w:r>
          </w:p>
        </w:tc>
        <w:tc>
          <w:tcPr>
            <w:tcW w:w="3662" w:type="dxa"/>
            <w:shd w:val="clear" w:color="auto" w:fill="auto"/>
          </w:tcPr>
          <w:p w14:paraId="21A2036E" w14:textId="6666BF08" w:rsidR="003B4F8D" w:rsidRPr="00544870" w:rsidRDefault="003B4F8D" w:rsidP="003B4F8D">
            <w:pPr>
              <w:spacing w:before="120" w:after="0"/>
              <w:rPr>
                <w:rFonts w:cs="Tahoma"/>
                <w:szCs w:val="18"/>
              </w:rPr>
            </w:pPr>
            <w:r w:rsidRPr="00544870">
              <w:rPr>
                <w:rFonts w:cs="Tahoma"/>
                <w:szCs w:val="18"/>
              </w:rPr>
              <w:t xml:space="preserve">AS “Nexia Audit Advice” </w:t>
            </w:r>
          </w:p>
          <w:p w14:paraId="5F6A54D2" w14:textId="38D98602" w:rsidR="003B4F8D" w:rsidRPr="00544870" w:rsidRDefault="003B4F8D" w:rsidP="003B4F8D">
            <w:pPr>
              <w:spacing w:before="120" w:after="0"/>
              <w:rPr>
                <w:rFonts w:cs="Tahoma"/>
                <w:szCs w:val="18"/>
              </w:rPr>
            </w:pPr>
            <w:r w:rsidRPr="00544870">
              <w:rPr>
                <w:rFonts w:cs="Tahoma"/>
                <w:szCs w:val="18"/>
              </w:rPr>
              <w:t>Baznīcas iela 31 – 14, Rīga,                Latvija, LV -1010</w:t>
            </w:r>
          </w:p>
          <w:p w14:paraId="0D44EF88" w14:textId="77777777" w:rsidR="003B4F8D" w:rsidRPr="00544870" w:rsidRDefault="003B4F8D" w:rsidP="003B4F8D">
            <w:pPr>
              <w:spacing w:after="0"/>
              <w:rPr>
                <w:rFonts w:cs="Tahoma"/>
                <w:szCs w:val="18"/>
              </w:rPr>
            </w:pPr>
            <w:r w:rsidRPr="00544870">
              <w:rPr>
                <w:rFonts w:cs="Tahoma"/>
                <w:szCs w:val="18"/>
              </w:rPr>
              <w:t>Reģ. Nr. 40003858822</w:t>
            </w:r>
          </w:p>
          <w:p w14:paraId="28A5F5D2" w14:textId="77777777" w:rsidR="003B4F8D" w:rsidRPr="00544870" w:rsidRDefault="003B4F8D" w:rsidP="003B4F8D">
            <w:pPr>
              <w:spacing w:after="0"/>
              <w:rPr>
                <w:rFonts w:cs="Tahoma"/>
                <w:szCs w:val="18"/>
              </w:rPr>
            </w:pPr>
            <w:r w:rsidRPr="00544870">
              <w:rPr>
                <w:rFonts w:cs="Tahoma"/>
                <w:szCs w:val="18"/>
              </w:rPr>
              <w:t>Zvērinātu revidentu komercsabiedrības</w:t>
            </w:r>
          </w:p>
          <w:p w14:paraId="01D442B9" w14:textId="77777777" w:rsidR="003B4F8D" w:rsidRPr="00544870" w:rsidRDefault="003B4F8D" w:rsidP="003B4F8D">
            <w:pPr>
              <w:spacing w:after="0"/>
              <w:rPr>
                <w:rFonts w:cs="Tahoma"/>
                <w:szCs w:val="18"/>
              </w:rPr>
            </w:pPr>
            <w:r w:rsidRPr="00544870">
              <w:rPr>
                <w:rFonts w:cs="Tahoma"/>
                <w:szCs w:val="18"/>
              </w:rPr>
              <w:t>licence Nr. 134</w:t>
            </w:r>
          </w:p>
          <w:p w14:paraId="471066FB" w14:textId="77777777" w:rsidR="003B4F8D" w:rsidRPr="00544870" w:rsidRDefault="003B4F8D" w:rsidP="003B4F8D">
            <w:pPr>
              <w:spacing w:before="120" w:after="120"/>
              <w:rPr>
                <w:rFonts w:cs="Tahoma"/>
                <w:szCs w:val="18"/>
              </w:rPr>
            </w:pPr>
          </w:p>
          <w:p w14:paraId="5B4B98BB" w14:textId="77777777" w:rsidR="003B4F8D" w:rsidRPr="00544870" w:rsidRDefault="003B4F8D" w:rsidP="003B4F8D">
            <w:pPr>
              <w:spacing w:before="120" w:after="120"/>
              <w:jc w:val="both"/>
              <w:rPr>
                <w:rFonts w:cs="Tahoma"/>
                <w:szCs w:val="18"/>
              </w:rPr>
            </w:pPr>
          </w:p>
        </w:tc>
      </w:tr>
    </w:tbl>
    <w:p w14:paraId="7098AE20" w14:textId="77777777" w:rsidR="0058295F" w:rsidRDefault="0058295F" w:rsidP="0058295F">
      <w:pPr>
        <w:spacing w:before="120" w:after="120"/>
        <w:jc w:val="both"/>
        <w:rPr>
          <w:rFonts w:cs="Tahoma"/>
          <w:szCs w:val="18"/>
        </w:rPr>
      </w:pPr>
    </w:p>
    <w:tbl>
      <w:tblPr>
        <w:tblW w:w="9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9"/>
        <w:gridCol w:w="1354"/>
        <w:gridCol w:w="1353"/>
      </w:tblGrid>
      <w:tr w:rsidR="00802E89" w:rsidRPr="00A84647" w14:paraId="709E7239" w14:textId="77777777" w:rsidTr="00780A88">
        <w:tc>
          <w:tcPr>
            <w:tcW w:w="6319" w:type="dxa"/>
            <w:tcBorders>
              <w:top w:val="nil"/>
              <w:left w:val="nil"/>
              <w:bottom w:val="nil"/>
              <w:right w:val="nil"/>
            </w:tcBorders>
            <w:shd w:val="clear" w:color="auto" w:fill="auto"/>
          </w:tcPr>
          <w:p w14:paraId="577F3E85" w14:textId="6E27847F" w:rsidR="00802E89" w:rsidRPr="00A61D95" w:rsidRDefault="00802E89" w:rsidP="00802E89">
            <w:pPr>
              <w:spacing w:before="60" w:after="0"/>
              <w:rPr>
                <w:rFonts w:cs="Tahoma"/>
                <w:szCs w:val="18"/>
              </w:rPr>
            </w:pPr>
            <w:bookmarkStart w:id="337" w:name="_Toc431813471"/>
            <w:bookmarkStart w:id="338" w:name="_Toc461446177"/>
            <w:bookmarkEnd w:id="335"/>
            <w:bookmarkEnd w:id="336"/>
          </w:p>
        </w:tc>
        <w:tc>
          <w:tcPr>
            <w:tcW w:w="1354" w:type="dxa"/>
            <w:tcBorders>
              <w:top w:val="nil"/>
              <w:left w:val="nil"/>
              <w:bottom w:val="nil"/>
              <w:right w:val="nil"/>
            </w:tcBorders>
            <w:shd w:val="clear" w:color="auto" w:fill="auto"/>
          </w:tcPr>
          <w:p w14:paraId="478E5EA4" w14:textId="006CEF5D" w:rsidR="00802E89" w:rsidRPr="00A84647" w:rsidRDefault="00802E89" w:rsidP="00802E89">
            <w:pPr>
              <w:spacing w:before="60" w:after="0"/>
              <w:jc w:val="right"/>
              <w:rPr>
                <w:rFonts w:cs="Tahoma"/>
                <w:szCs w:val="18"/>
              </w:rPr>
            </w:pPr>
          </w:p>
        </w:tc>
        <w:tc>
          <w:tcPr>
            <w:tcW w:w="1353" w:type="dxa"/>
            <w:tcBorders>
              <w:top w:val="nil"/>
              <w:left w:val="nil"/>
              <w:bottom w:val="nil"/>
              <w:right w:val="nil"/>
            </w:tcBorders>
          </w:tcPr>
          <w:p w14:paraId="3BD189C1" w14:textId="1269D068" w:rsidR="00802E89" w:rsidRPr="00A84647" w:rsidRDefault="00802E89" w:rsidP="00802E89">
            <w:pPr>
              <w:spacing w:before="60" w:after="0"/>
              <w:jc w:val="right"/>
              <w:rPr>
                <w:rFonts w:cs="Tahoma"/>
                <w:szCs w:val="18"/>
              </w:rPr>
            </w:pPr>
          </w:p>
        </w:tc>
      </w:tr>
      <w:tr w:rsidR="00802E89" w:rsidRPr="00A84647" w14:paraId="08D64C23" w14:textId="77777777" w:rsidTr="00780A88">
        <w:tc>
          <w:tcPr>
            <w:tcW w:w="6319" w:type="dxa"/>
            <w:tcBorders>
              <w:top w:val="nil"/>
              <w:left w:val="nil"/>
              <w:bottom w:val="nil"/>
              <w:right w:val="nil"/>
            </w:tcBorders>
            <w:shd w:val="clear" w:color="auto" w:fill="auto"/>
          </w:tcPr>
          <w:p w14:paraId="0990EEFE" w14:textId="62EE1597" w:rsidR="00802E89" w:rsidRPr="00A61D95" w:rsidRDefault="00802E89" w:rsidP="00802E89">
            <w:pPr>
              <w:spacing w:before="60" w:after="0"/>
              <w:rPr>
                <w:rFonts w:cs="Tahoma"/>
                <w:szCs w:val="18"/>
              </w:rPr>
            </w:pPr>
          </w:p>
        </w:tc>
        <w:tc>
          <w:tcPr>
            <w:tcW w:w="1354" w:type="dxa"/>
            <w:tcBorders>
              <w:top w:val="nil"/>
              <w:left w:val="nil"/>
              <w:bottom w:val="nil"/>
              <w:right w:val="nil"/>
            </w:tcBorders>
            <w:shd w:val="clear" w:color="auto" w:fill="auto"/>
          </w:tcPr>
          <w:p w14:paraId="182D4A89" w14:textId="585F813E" w:rsidR="00802E89" w:rsidRPr="00A84647" w:rsidRDefault="00802E89" w:rsidP="00802E89">
            <w:pPr>
              <w:spacing w:before="60" w:after="0"/>
              <w:jc w:val="right"/>
              <w:rPr>
                <w:rFonts w:cs="Tahoma"/>
                <w:szCs w:val="18"/>
              </w:rPr>
            </w:pPr>
          </w:p>
        </w:tc>
        <w:tc>
          <w:tcPr>
            <w:tcW w:w="1353" w:type="dxa"/>
            <w:tcBorders>
              <w:top w:val="nil"/>
              <w:left w:val="nil"/>
              <w:bottom w:val="nil"/>
              <w:right w:val="nil"/>
            </w:tcBorders>
          </w:tcPr>
          <w:p w14:paraId="1C912F75" w14:textId="7D12E170" w:rsidR="00802E89" w:rsidRPr="00A84647" w:rsidRDefault="00802E89" w:rsidP="00802E89">
            <w:pPr>
              <w:spacing w:before="60" w:after="0"/>
              <w:jc w:val="right"/>
              <w:rPr>
                <w:rFonts w:cs="Tahoma"/>
                <w:szCs w:val="18"/>
              </w:rPr>
            </w:pPr>
          </w:p>
        </w:tc>
      </w:tr>
      <w:tr w:rsidR="00802E89" w:rsidRPr="00A84647" w14:paraId="7A11CEBE" w14:textId="77777777" w:rsidTr="00780A88">
        <w:tc>
          <w:tcPr>
            <w:tcW w:w="6319" w:type="dxa"/>
            <w:tcBorders>
              <w:top w:val="nil"/>
              <w:left w:val="nil"/>
              <w:bottom w:val="nil"/>
              <w:right w:val="nil"/>
            </w:tcBorders>
            <w:shd w:val="clear" w:color="auto" w:fill="auto"/>
          </w:tcPr>
          <w:p w14:paraId="203389C6" w14:textId="2C07812A" w:rsidR="00802E89" w:rsidRPr="00A61D95" w:rsidRDefault="00802E89" w:rsidP="00802E89">
            <w:pPr>
              <w:spacing w:before="60" w:after="0"/>
              <w:rPr>
                <w:rFonts w:cs="Tahoma"/>
                <w:szCs w:val="18"/>
              </w:rPr>
            </w:pPr>
          </w:p>
        </w:tc>
        <w:tc>
          <w:tcPr>
            <w:tcW w:w="1354" w:type="dxa"/>
            <w:tcBorders>
              <w:top w:val="nil"/>
              <w:left w:val="nil"/>
              <w:bottom w:val="nil"/>
              <w:right w:val="nil"/>
            </w:tcBorders>
            <w:shd w:val="clear" w:color="auto" w:fill="auto"/>
          </w:tcPr>
          <w:p w14:paraId="7439271A" w14:textId="5D5BF65F" w:rsidR="00802E89" w:rsidRPr="00AC793F" w:rsidRDefault="00802E89" w:rsidP="00802E89">
            <w:pPr>
              <w:spacing w:before="60" w:after="0"/>
              <w:jc w:val="right"/>
              <w:rPr>
                <w:rFonts w:cs="Tahoma"/>
                <w:szCs w:val="18"/>
              </w:rPr>
            </w:pPr>
          </w:p>
        </w:tc>
        <w:tc>
          <w:tcPr>
            <w:tcW w:w="1353" w:type="dxa"/>
            <w:tcBorders>
              <w:top w:val="nil"/>
              <w:left w:val="nil"/>
              <w:bottom w:val="nil"/>
              <w:right w:val="nil"/>
            </w:tcBorders>
          </w:tcPr>
          <w:p w14:paraId="4F9DF6CC" w14:textId="62BF3B8A" w:rsidR="00802E89" w:rsidRPr="00AC793F" w:rsidRDefault="00802E89" w:rsidP="00802E89">
            <w:pPr>
              <w:spacing w:before="60" w:after="0"/>
              <w:jc w:val="right"/>
              <w:rPr>
                <w:rFonts w:cs="Tahoma"/>
                <w:szCs w:val="18"/>
              </w:rPr>
            </w:pPr>
          </w:p>
        </w:tc>
      </w:tr>
      <w:tr w:rsidR="00802E89" w:rsidRPr="00A84647" w14:paraId="75BD9E7B" w14:textId="77777777" w:rsidTr="00780A88">
        <w:tc>
          <w:tcPr>
            <w:tcW w:w="6319" w:type="dxa"/>
            <w:tcBorders>
              <w:top w:val="nil"/>
              <w:left w:val="nil"/>
              <w:bottom w:val="nil"/>
              <w:right w:val="nil"/>
            </w:tcBorders>
            <w:shd w:val="clear" w:color="auto" w:fill="auto"/>
          </w:tcPr>
          <w:p w14:paraId="183538AD" w14:textId="57606408" w:rsidR="00802E89" w:rsidRPr="00A61D95" w:rsidRDefault="00802E89" w:rsidP="00802E89">
            <w:pPr>
              <w:spacing w:before="60" w:after="0"/>
              <w:rPr>
                <w:rFonts w:cs="Tahoma"/>
                <w:szCs w:val="18"/>
              </w:rPr>
            </w:pPr>
          </w:p>
        </w:tc>
        <w:tc>
          <w:tcPr>
            <w:tcW w:w="1354" w:type="dxa"/>
            <w:tcBorders>
              <w:top w:val="nil"/>
              <w:left w:val="nil"/>
              <w:bottom w:val="nil"/>
              <w:right w:val="nil"/>
            </w:tcBorders>
            <w:shd w:val="clear" w:color="auto" w:fill="auto"/>
          </w:tcPr>
          <w:p w14:paraId="4CCBFCD2" w14:textId="22C414D8" w:rsidR="00802E89" w:rsidRPr="00A84647" w:rsidRDefault="00802E89" w:rsidP="00802E89">
            <w:pPr>
              <w:spacing w:before="60" w:after="0"/>
              <w:jc w:val="right"/>
              <w:rPr>
                <w:rFonts w:cs="Tahoma"/>
                <w:szCs w:val="18"/>
              </w:rPr>
            </w:pPr>
          </w:p>
        </w:tc>
        <w:tc>
          <w:tcPr>
            <w:tcW w:w="1353" w:type="dxa"/>
            <w:tcBorders>
              <w:top w:val="nil"/>
              <w:left w:val="nil"/>
              <w:bottom w:val="nil"/>
              <w:right w:val="nil"/>
            </w:tcBorders>
          </w:tcPr>
          <w:p w14:paraId="48AED210" w14:textId="36F2FC41" w:rsidR="00802E89" w:rsidRPr="00A84647" w:rsidRDefault="00802E89" w:rsidP="00802E89">
            <w:pPr>
              <w:spacing w:before="60" w:after="0"/>
              <w:jc w:val="right"/>
              <w:rPr>
                <w:rFonts w:cs="Tahoma"/>
                <w:szCs w:val="18"/>
              </w:rPr>
            </w:pPr>
          </w:p>
        </w:tc>
      </w:tr>
      <w:tr w:rsidR="008A1EDA" w:rsidRPr="00A84647" w14:paraId="389FFB7E" w14:textId="77777777" w:rsidTr="00780A88">
        <w:tc>
          <w:tcPr>
            <w:tcW w:w="6319" w:type="dxa"/>
            <w:tcBorders>
              <w:top w:val="nil"/>
              <w:left w:val="nil"/>
              <w:bottom w:val="nil"/>
              <w:right w:val="nil"/>
            </w:tcBorders>
            <w:shd w:val="clear" w:color="auto" w:fill="auto"/>
          </w:tcPr>
          <w:p w14:paraId="7FBB8421" w14:textId="68B4DF72" w:rsidR="008A1EDA" w:rsidRDefault="008A1EDA" w:rsidP="008A1EDA">
            <w:pPr>
              <w:spacing w:before="60" w:after="0"/>
              <w:rPr>
                <w:rFonts w:cs="Tahoma"/>
                <w:szCs w:val="18"/>
              </w:rPr>
            </w:pPr>
          </w:p>
        </w:tc>
        <w:tc>
          <w:tcPr>
            <w:tcW w:w="1354" w:type="dxa"/>
            <w:tcBorders>
              <w:top w:val="nil"/>
              <w:left w:val="nil"/>
              <w:bottom w:val="nil"/>
              <w:right w:val="nil"/>
            </w:tcBorders>
            <w:shd w:val="clear" w:color="auto" w:fill="auto"/>
          </w:tcPr>
          <w:p w14:paraId="57C8DA5A" w14:textId="652F7553" w:rsidR="008A1EDA" w:rsidRDefault="008A1EDA" w:rsidP="008A1EDA">
            <w:pPr>
              <w:spacing w:before="60" w:after="0"/>
              <w:jc w:val="right"/>
              <w:rPr>
                <w:rFonts w:cs="Tahoma"/>
                <w:szCs w:val="18"/>
              </w:rPr>
            </w:pPr>
          </w:p>
        </w:tc>
        <w:tc>
          <w:tcPr>
            <w:tcW w:w="1353" w:type="dxa"/>
            <w:tcBorders>
              <w:top w:val="nil"/>
              <w:left w:val="nil"/>
              <w:bottom w:val="nil"/>
              <w:right w:val="nil"/>
            </w:tcBorders>
          </w:tcPr>
          <w:p w14:paraId="4F6D8BFB" w14:textId="27EA5E46" w:rsidR="008A1EDA" w:rsidRDefault="008A1EDA" w:rsidP="008A1EDA">
            <w:pPr>
              <w:spacing w:before="60" w:after="0"/>
              <w:jc w:val="right"/>
              <w:rPr>
                <w:rFonts w:cs="Tahoma"/>
                <w:szCs w:val="18"/>
              </w:rPr>
            </w:pPr>
          </w:p>
        </w:tc>
      </w:tr>
    </w:tbl>
    <w:p w14:paraId="72C61C3D" w14:textId="77777777" w:rsidR="00E30C76" w:rsidRPr="00A84647" w:rsidRDefault="00E30C76" w:rsidP="00AE2573">
      <w:pPr>
        <w:pStyle w:val="Bezatstarpm"/>
        <w:spacing w:before="360" w:after="240"/>
        <w:rPr>
          <w:rFonts w:ascii="Tahoma" w:hAnsi="Tahoma" w:cs="Tahoma"/>
          <w:sz w:val="18"/>
          <w:szCs w:val="18"/>
        </w:rPr>
      </w:pPr>
    </w:p>
    <w:p w14:paraId="26AF726C" w14:textId="2DF5E64A" w:rsidR="00747CCE" w:rsidRPr="00747CCE" w:rsidRDefault="0076117A" w:rsidP="0076117A">
      <w:pPr>
        <w:pStyle w:val="Virsraksts1"/>
        <w:spacing w:after="360"/>
      </w:pPr>
      <w:bookmarkStart w:id="339" w:name="_Toc473130138"/>
      <w:bookmarkEnd w:id="337"/>
      <w:bookmarkEnd w:id="338"/>
      <w:r>
        <w:rPr>
          <w:rFonts w:ascii="Tahoma" w:hAnsi="Tahoma" w:cs="Tahoma"/>
          <w:sz w:val="18"/>
          <w:szCs w:val="18"/>
        </w:rPr>
        <w:t>Starpperiodu v</w:t>
      </w:r>
      <w:r w:rsidR="002A0A40" w:rsidRPr="002273FF">
        <w:rPr>
          <w:rFonts w:ascii="Tahoma" w:hAnsi="Tahoma" w:cs="Tahoma"/>
          <w:sz w:val="18"/>
          <w:szCs w:val="18"/>
        </w:rPr>
        <w:t>adības ziņojums</w:t>
      </w:r>
      <w:bookmarkEnd w:id="339"/>
    </w:p>
    <w:p w14:paraId="414E716C" w14:textId="77777777" w:rsidR="002A0A40" w:rsidRPr="002273FF" w:rsidRDefault="002A0A40" w:rsidP="002A0A40">
      <w:pPr>
        <w:spacing w:before="120" w:after="120"/>
        <w:jc w:val="both"/>
        <w:rPr>
          <w:rFonts w:cs="Tahoma"/>
          <w:b/>
          <w:szCs w:val="18"/>
        </w:rPr>
      </w:pPr>
      <w:r w:rsidRPr="002273FF">
        <w:rPr>
          <w:rFonts w:cs="Tahoma"/>
          <w:b/>
          <w:szCs w:val="18"/>
        </w:rPr>
        <w:t>Sabiedrības darbība pārskata periodā</w:t>
      </w:r>
    </w:p>
    <w:p w14:paraId="796204FD" w14:textId="3BB2DF64" w:rsidR="002A0A40" w:rsidRPr="00D015A3" w:rsidRDefault="002A0A40" w:rsidP="002A0A40">
      <w:pPr>
        <w:spacing w:before="120" w:after="120" w:line="240" w:lineRule="exact"/>
        <w:jc w:val="both"/>
        <w:rPr>
          <w:rFonts w:cs="Tahoma"/>
          <w:szCs w:val="18"/>
        </w:rPr>
      </w:pPr>
      <w:r w:rsidRPr="00FA52AB">
        <w:rPr>
          <w:rFonts w:cs="Tahoma"/>
          <w:szCs w:val="18"/>
        </w:rPr>
        <w:t xml:space="preserve">Pārskata </w:t>
      </w:r>
      <w:r>
        <w:rPr>
          <w:rFonts w:cs="Tahoma"/>
          <w:szCs w:val="18"/>
        </w:rPr>
        <w:t>periodu-2022. gada 2. ceturksni-</w:t>
      </w:r>
      <w:r w:rsidRPr="00FA52AB">
        <w:rPr>
          <w:rFonts w:cs="Tahoma"/>
          <w:szCs w:val="18"/>
        </w:rPr>
        <w:t xml:space="preserve"> Sabiedrība  ir noslēgusi </w:t>
      </w:r>
      <w:r w:rsidRPr="006267EE">
        <w:rPr>
          <w:rFonts w:cs="Tahoma"/>
          <w:szCs w:val="18"/>
        </w:rPr>
        <w:t xml:space="preserve">ar </w:t>
      </w:r>
      <w:r>
        <w:rPr>
          <w:rFonts w:cs="Tahoma"/>
          <w:szCs w:val="18"/>
        </w:rPr>
        <w:t>zaudējumiem</w:t>
      </w:r>
      <w:r w:rsidRPr="005D3AA0">
        <w:rPr>
          <w:rFonts w:cs="Tahoma"/>
          <w:color w:val="FF0000"/>
          <w:szCs w:val="18"/>
        </w:rPr>
        <w:t xml:space="preserve"> </w:t>
      </w:r>
      <w:r w:rsidRPr="006267EE">
        <w:rPr>
          <w:rFonts w:cs="Tahoma"/>
          <w:szCs w:val="18"/>
        </w:rPr>
        <w:t xml:space="preserve"> EUR </w:t>
      </w:r>
      <w:r>
        <w:rPr>
          <w:rFonts w:cs="Tahoma"/>
          <w:szCs w:val="18"/>
        </w:rPr>
        <w:t xml:space="preserve">28 505 </w:t>
      </w:r>
      <w:r w:rsidRPr="006267EE">
        <w:rPr>
          <w:rFonts w:cs="Tahoma"/>
          <w:szCs w:val="18"/>
        </w:rPr>
        <w:t>apmērā</w:t>
      </w:r>
      <w:r>
        <w:rPr>
          <w:rFonts w:cs="Tahoma"/>
          <w:szCs w:val="18"/>
        </w:rPr>
        <w:t>.</w:t>
      </w:r>
      <w:r w:rsidRPr="00635F80">
        <w:rPr>
          <w:rFonts w:cs="Tahoma"/>
          <w:color w:val="FF00FF"/>
          <w:szCs w:val="18"/>
        </w:rPr>
        <w:t xml:space="preserve"> </w:t>
      </w:r>
      <w:r w:rsidRPr="00FA52AB">
        <w:rPr>
          <w:rFonts w:cs="Tahoma"/>
          <w:szCs w:val="18"/>
        </w:rPr>
        <w:t>Sabiedrība</w:t>
      </w:r>
      <w:r>
        <w:rPr>
          <w:rFonts w:cs="Tahoma"/>
          <w:szCs w:val="18"/>
        </w:rPr>
        <w:t>s vadība</w:t>
      </w:r>
      <w:r w:rsidRPr="00FA52AB">
        <w:rPr>
          <w:rFonts w:cs="Tahoma"/>
          <w:szCs w:val="18"/>
        </w:rPr>
        <w:t xml:space="preserve"> uzskata, ka esošajā situācijā, </w:t>
      </w:r>
      <w:r w:rsidRPr="008E0989">
        <w:rPr>
          <w:rFonts w:cs="Tahoma"/>
          <w:szCs w:val="18"/>
        </w:rPr>
        <w:t>finansējums veselības aprūpes nozarē ir nepietiekams</w:t>
      </w:r>
      <w:r w:rsidRPr="00D015A3">
        <w:rPr>
          <w:rFonts w:cs="Tahoma"/>
          <w:szCs w:val="18"/>
        </w:rPr>
        <w:t>, bet pieprasījums pēc veselības aprūpes pakalpojuma pieaug, jādara viss iespējamais, lai veselības aprūpes jomā veicinātu tieši maksas pakalpojuma attīstību. Pēc sabiedrības domām, 202</w:t>
      </w:r>
      <w:r>
        <w:rPr>
          <w:rFonts w:cs="Tahoma"/>
          <w:szCs w:val="18"/>
        </w:rPr>
        <w:t>2.</w:t>
      </w:r>
      <w:r w:rsidRPr="00D015A3">
        <w:rPr>
          <w:rFonts w:cs="Tahoma"/>
          <w:szCs w:val="18"/>
        </w:rPr>
        <w:t>gad</w:t>
      </w:r>
      <w:r w:rsidR="00747CCE">
        <w:rPr>
          <w:rFonts w:cs="Tahoma"/>
          <w:szCs w:val="18"/>
        </w:rPr>
        <w:t xml:space="preserve">a nākamajā periodā </w:t>
      </w:r>
      <w:r>
        <w:rPr>
          <w:rFonts w:cs="Tahoma"/>
          <w:szCs w:val="18"/>
        </w:rPr>
        <w:t xml:space="preserve"> </w:t>
      </w:r>
      <w:r w:rsidRPr="00D015A3">
        <w:rPr>
          <w:rFonts w:cs="Tahoma"/>
          <w:szCs w:val="18"/>
        </w:rPr>
        <w:t>SIA “Limbažu slimnīca” turpinās savu iesākto saimniecisko darbību</w:t>
      </w:r>
      <w:r w:rsidRPr="00D015A3">
        <w:rPr>
          <w:rFonts w:asciiTheme="minorHAnsi" w:hAnsiTheme="minorHAnsi" w:cs="Arial"/>
          <w:sz w:val="20"/>
          <w:szCs w:val="20"/>
        </w:rPr>
        <w:t xml:space="preserve"> </w:t>
      </w:r>
      <w:r w:rsidRPr="00170A13">
        <w:rPr>
          <w:rFonts w:cs="Tahoma"/>
          <w:szCs w:val="18"/>
        </w:rPr>
        <w:t>kā  1. līmeņa stacionārs un arī kā ambulatorā</w:t>
      </w:r>
      <w:r w:rsidRPr="00D015A3">
        <w:rPr>
          <w:rFonts w:cs="Tahoma"/>
          <w:szCs w:val="18"/>
        </w:rPr>
        <w:t xml:space="preserve"> veselības aprūpes pakalpojumu sniegšanas iestāde, kurā sniedz plānveida ambulatoro palīdzību. </w:t>
      </w:r>
    </w:p>
    <w:p w14:paraId="40664610" w14:textId="77777777" w:rsidR="002A0A40" w:rsidRPr="00D015A3" w:rsidRDefault="002A0A40" w:rsidP="002A0A40">
      <w:pPr>
        <w:spacing w:before="120" w:after="120" w:line="240" w:lineRule="exact"/>
        <w:jc w:val="both"/>
        <w:rPr>
          <w:rFonts w:cs="Tahoma"/>
          <w:szCs w:val="18"/>
        </w:rPr>
      </w:pPr>
      <w:r w:rsidRPr="00D015A3">
        <w:rPr>
          <w:rFonts w:cs="Tahoma"/>
          <w:szCs w:val="18"/>
        </w:rPr>
        <w:t>Slimnīcā diennakts režīmā darbojas pacientu uzņemšanas nodaļa, kur iedzīvotāji var saņemt diennakts neatliekamo medicīnisko palīdzību gan traumu gadījumos, gan arī citos gadījumos, kas saistīti ar akūtām veselības problēmām. SIA  „Limbažu slimnīca” darbojas arī dienas stacionārs ar sekojošām struktūrvienībām:</w:t>
      </w:r>
    </w:p>
    <w:p w14:paraId="2E9A99DF" w14:textId="77777777" w:rsidR="002A0A40" w:rsidRPr="00D015A3" w:rsidRDefault="002A0A40" w:rsidP="002A0A40">
      <w:pPr>
        <w:pStyle w:val="Sarakstarindkopa"/>
        <w:numPr>
          <w:ilvl w:val="0"/>
          <w:numId w:val="3"/>
        </w:numPr>
        <w:spacing w:before="120" w:after="120" w:line="240" w:lineRule="exact"/>
        <w:jc w:val="both"/>
        <w:rPr>
          <w:rFonts w:cs="Tahoma"/>
          <w:szCs w:val="18"/>
        </w:rPr>
      </w:pPr>
      <w:r w:rsidRPr="00D015A3">
        <w:rPr>
          <w:rFonts w:cs="Tahoma"/>
          <w:szCs w:val="18"/>
        </w:rPr>
        <w:t>neiroloģijas un iekšķīgo slimību nodaļa,</w:t>
      </w:r>
    </w:p>
    <w:p w14:paraId="7C0DD37A" w14:textId="77777777" w:rsidR="002A0A40" w:rsidRPr="00D015A3" w:rsidRDefault="002A0A40" w:rsidP="002A0A40">
      <w:pPr>
        <w:pStyle w:val="Sarakstarindkopa"/>
        <w:numPr>
          <w:ilvl w:val="0"/>
          <w:numId w:val="3"/>
        </w:numPr>
        <w:spacing w:before="120" w:after="120" w:line="240" w:lineRule="exact"/>
        <w:jc w:val="both"/>
        <w:rPr>
          <w:rFonts w:cs="Tahoma"/>
          <w:szCs w:val="18"/>
        </w:rPr>
      </w:pPr>
      <w:r w:rsidRPr="00D015A3">
        <w:rPr>
          <w:rFonts w:cs="Tahoma"/>
          <w:szCs w:val="18"/>
        </w:rPr>
        <w:t>rehabilitācijas nodaļa,</w:t>
      </w:r>
    </w:p>
    <w:p w14:paraId="3976FCDC" w14:textId="77777777" w:rsidR="002A0A40" w:rsidRPr="00D015A3" w:rsidRDefault="002A0A40" w:rsidP="002A0A40">
      <w:pPr>
        <w:pStyle w:val="Sarakstarindkopa"/>
        <w:numPr>
          <w:ilvl w:val="0"/>
          <w:numId w:val="3"/>
        </w:numPr>
        <w:spacing w:before="120" w:after="120" w:line="240" w:lineRule="exact"/>
        <w:jc w:val="both"/>
        <w:rPr>
          <w:rFonts w:cs="Tahoma"/>
          <w:szCs w:val="18"/>
        </w:rPr>
      </w:pPr>
      <w:r w:rsidRPr="00D015A3">
        <w:rPr>
          <w:rFonts w:cs="Tahoma"/>
          <w:szCs w:val="18"/>
        </w:rPr>
        <w:t>vispārējās ķirurģijas nodaļa,</w:t>
      </w:r>
    </w:p>
    <w:p w14:paraId="24CF6269" w14:textId="77777777" w:rsidR="002A0A40" w:rsidRPr="00D015A3" w:rsidRDefault="002A0A40" w:rsidP="002A0A40">
      <w:pPr>
        <w:pStyle w:val="Sarakstarindkopa"/>
        <w:numPr>
          <w:ilvl w:val="0"/>
          <w:numId w:val="3"/>
        </w:numPr>
        <w:spacing w:before="120" w:after="120" w:line="240" w:lineRule="exact"/>
        <w:jc w:val="both"/>
        <w:rPr>
          <w:rFonts w:cs="Tahoma"/>
          <w:szCs w:val="18"/>
        </w:rPr>
      </w:pPr>
      <w:r w:rsidRPr="00D015A3">
        <w:rPr>
          <w:rFonts w:cs="Tahoma"/>
          <w:szCs w:val="18"/>
        </w:rPr>
        <w:t>traumatoloģijas nodaļa,</w:t>
      </w:r>
    </w:p>
    <w:p w14:paraId="42FF0B7E" w14:textId="77777777" w:rsidR="002A0A40" w:rsidRPr="00D015A3" w:rsidRDefault="002A0A40" w:rsidP="002A0A40">
      <w:pPr>
        <w:pStyle w:val="Sarakstarindkopa"/>
        <w:numPr>
          <w:ilvl w:val="0"/>
          <w:numId w:val="3"/>
        </w:numPr>
        <w:spacing w:before="120" w:after="120" w:line="240" w:lineRule="exact"/>
        <w:jc w:val="both"/>
        <w:rPr>
          <w:rFonts w:cs="Tahoma"/>
          <w:szCs w:val="18"/>
        </w:rPr>
      </w:pPr>
      <w:r w:rsidRPr="00D015A3">
        <w:rPr>
          <w:rFonts w:cs="Tahoma"/>
          <w:szCs w:val="18"/>
        </w:rPr>
        <w:t>ginekoloģijas nodaļa,</w:t>
      </w:r>
    </w:p>
    <w:p w14:paraId="4D68C733" w14:textId="77777777" w:rsidR="002A0A40" w:rsidRPr="00D015A3" w:rsidRDefault="002A0A40" w:rsidP="002A0A40">
      <w:pPr>
        <w:pStyle w:val="Sarakstarindkopa"/>
        <w:numPr>
          <w:ilvl w:val="0"/>
          <w:numId w:val="3"/>
        </w:numPr>
        <w:spacing w:before="120" w:after="120" w:line="240" w:lineRule="exact"/>
        <w:jc w:val="both"/>
        <w:rPr>
          <w:rFonts w:cs="Tahoma"/>
          <w:szCs w:val="18"/>
        </w:rPr>
      </w:pPr>
      <w:r w:rsidRPr="00D015A3">
        <w:rPr>
          <w:rFonts w:cs="Tahoma"/>
          <w:szCs w:val="18"/>
        </w:rPr>
        <w:t>gastrointesticinālās endoskopijas nodaļa,</w:t>
      </w:r>
    </w:p>
    <w:p w14:paraId="47AED4FB" w14:textId="77777777" w:rsidR="002A0A40" w:rsidRPr="00D015A3" w:rsidRDefault="002A0A40" w:rsidP="002A0A40">
      <w:pPr>
        <w:pStyle w:val="Sarakstarindkopa"/>
        <w:numPr>
          <w:ilvl w:val="0"/>
          <w:numId w:val="3"/>
        </w:numPr>
        <w:spacing w:before="120" w:after="120" w:line="240" w:lineRule="exact"/>
        <w:jc w:val="both"/>
        <w:rPr>
          <w:rFonts w:cs="Tahoma"/>
          <w:szCs w:val="18"/>
        </w:rPr>
      </w:pPr>
      <w:r w:rsidRPr="00D015A3">
        <w:rPr>
          <w:rFonts w:cs="Tahoma"/>
          <w:szCs w:val="18"/>
        </w:rPr>
        <w:t>no 2020.gada augusta terapijas diennakts stacionārs</w:t>
      </w:r>
      <w:r>
        <w:rPr>
          <w:rFonts w:cs="Tahoma"/>
          <w:szCs w:val="18"/>
        </w:rPr>
        <w:t>,</w:t>
      </w:r>
      <w:r w:rsidRPr="00D015A3">
        <w:rPr>
          <w:rFonts w:cs="Tahoma"/>
          <w:szCs w:val="18"/>
        </w:rPr>
        <w:t xml:space="preserve"> hroniskās aprūpes </w:t>
      </w:r>
      <w:r>
        <w:rPr>
          <w:rFonts w:cs="Tahoma"/>
          <w:szCs w:val="18"/>
        </w:rPr>
        <w:t>gultas un aprūpes gultas,</w:t>
      </w:r>
    </w:p>
    <w:p w14:paraId="192D78C7" w14:textId="77777777" w:rsidR="002A0A40" w:rsidRPr="00D015A3" w:rsidRDefault="002A0A40" w:rsidP="002A0A40">
      <w:pPr>
        <w:pStyle w:val="Sarakstarindkopa"/>
        <w:numPr>
          <w:ilvl w:val="0"/>
          <w:numId w:val="3"/>
        </w:numPr>
        <w:spacing w:before="120" w:after="120" w:line="240" w:lineRule="exact"/>
        <w:jc w:val="both"/>
        <w:rPr>
          <w:rFonts w:cs="Tahoma"/>
          <w:szCs w:val="18"/>
        </w:rPr>
      </w:pPr>
      <w:r w:rsidRPr="00D015A3">
        <w:rPr>
          <w:rFonts w:cs="Tahoma"/>
          <w:szCs w:val="18"/>
        </w:rPr>
        <w:t>papildus dienas stacionāra pakalpojumam i</w:t>
      </w:r>
      <w:r>
        <w:rPr>
          <w:rFonts w:cs="Tahoma"/>
          <w:szCs w:val="18"/>
        </w:rPr>
        <w:t xml:space="preserve">r attīstīts maksas pakalpojums - </w:t>
      </w:r>
      <w:r w:rsidRPr="00D015A3">
        <w:rPr>
          <w:rFonts w:cs="Tahoma"/>
          <w:szCs w:val="18"/>
        </w:rPr>
        <w:t xml:space="preserve">īslaicīgā sociālā aprūpe. Pakalpojums vērsts uz pacientiem ar pašaprūpes problēmām, kam nepieciešama diennakts uzraudzība. Gadījumos, kad pacientam nepieciešama ilgstoša sociālā aprūpe, tiek veidota sadarbība ar tuviniekiem vai sociālo dienestu- ar mērķi pacientu tālāk novirzīt uz kādu no socālās aprūpes iestādēm vai radīt atbilstošus apstākļus pacienta dzīves vietā. </w:t>
      </w:r>
    </w:p>
    <w:p w14:paraId="007F2ABC" w14:textId="77777777" w:rsidR="002A0A40" w:rsidRPr="00ED5B9A" w:rsidRDefault="002A0A40" w:rsidP="002A0A40">
      <w:pPr>
        <w:spacing w:before="120" w:after="120" w:line="240" w:lineRule="exact"/>
        <w:jc w:val="both"/>
        <w:rPr>
          <w:rFonts w:cs="Tahoma"/>
          <w:color w:val="000000" w:themeColor="text1"/>
          <w:szCs w:val="18"/>
        </w:rPr>
      </w:pPr>
      <w:r w:rsidRPr="00ED5B9A">
        <w:rPr>
          <w:rFonts w:cs="Tahoma"/>
          <w:color w:val="000000" w:themeColor="text1"/>
          <w:szCs w:val="18"/>
        </w:rPr>
        <w:t>SIA „Limbažu slimnīca” ambulatorajā nodaļā pacientiem medicīnisko palīdzību sniedz šādi speciālisti: ķirurgs, traumatologs, otolaringologs, okulists, onkologs, neirologs, urologs, dermatovenerologs, rehabilitologs, fizioterapeits, ergoterapeits, masieris, fizikālās terapijas speciālists; pacientiem ir pieejama diabētiskā pēdas aprūpe, cukura diabēta kabinets; kardiologa,  psihiatra,  anesteziologa, pulmonologa, endokrinologa konsultācijas; ir pieejami zobārsta, zobu higiēnista pakalpojumi.</w:t>
      </w:r>
    </w:p>
    <w:p w14:paraId="299729DE" w14:textId="77777777" w:rsidR="002A0A40" w:rsidRPr="00ED5B9A" w:rsidRDefault="002A0A40" w:rsidP="002A0A40">
      <w:pPr>
        <w:spacing w:before="120" w:after="120" w:line="240" w:lineRule="exact"/>
        <w:jc w:val="both"/>
        <w:rPr>
          <w:rFonts w:cs="Tahoma"/>
          <w:color w:val="000000" w:themeColor="text1"/>
          <w:szCs w:val="18"/>
        </w:rPr>
      </w:pPr>
      <w:r w:rsidRPr="00ED5B9A">
        <w:rPr>
          <w:rFonts w:cs="Tahoma"/>
          <w:color w:val="000000" w:themeColor="text1"/>
          <w:szCs w:val="18"/>
        </w:rPr>
        <w:t>Liels uzsvars likts arī uz kvalitatīvas diagnostikas nodrošināšanu. SIA „Limbažu slimnīca” pacientiem ir nodrošinātas sekojošas diagnostikas iespējas: datortomogrāfija, mamogrāfija, rentgendiagnostika, ultrasonogrāfijas doplerogrāfija, endoskopija, sirds asinsvadu funkcionālā diagnostika, kas sevī ietver elektrokardiogrāfiju un ehokardiogrāfiju, holtermonitoringu.</w:t>
      </w:r>
    </w:p>
    <w:p w14:paraId="02AB6096" w14:textId="09B43A98" w:rsidR="002A0A40" w:rsidRPr="00D015A3" w:rsidRDefault="002A0A40" w:rsidP="001038AB">
      <w:pPr>
        <w:spacing w:before="120" w:after="120" w:line="240" w:lineRule="exact"/>
        <w:jc w:val="both"/>
        <w:rPr>
          <w:rFonts w:cs="Tahoma"/>
          <w:iCs/>
          <w:szCs w:val="18"/>
        </w:rPr>
      </w:pPr>
      <w:r w:rsidRPr="00ED5B9A">
        <w:rPr>
          <w:rFonts w:cs="Tahoma"/>
          <w:color w:val="000000" w:themeColor="text1"/>
          <w:szCs w:val="18"/>
        </w:rPr>
        <w:t>Tā kā dienas stacionāra pacientiem valsts neapmaksā tādus papildus pakalpojumus kā ēdināšanu un nakts izmitināšanu, SIA „Limbažu slimnīca” sniedz iespēju pacientiem saņemt arī šos pakalpojumus par papildus samaksu, tā pacientiem tiek nodrošināta iespēja dienas stacionāra ietvaros saņemt pilnīgu diennakts aprūpi.</w:t>
      </w:r>
    </w:p>
    <w:p w14:paraId="03A503B5" w14:textId="3BA80193" w:rsidR="002A0A40" w:rsidRPr="00D015A3" w:rsidRDefault="002A0A40" w:rsidP="002A0A40">
      <w:pPr>
        <w:widowControl w:val="0"/>
        <w:autoSpaceDE w:val="0"/>
        <w:autoSpaceDN w:val="0"/>
        <w:adjustRightInd w:val="0"/>
        <w:spacing w:before="120" w:after="120"/>
        <w:jc w:val="both"/>
        <w:rPr>
          <w:rFonts w:cs="Tahoma"/>
          <w:iCs/>
          <w:szCs w:val="18"/>
        </w:rPr>
      </w:pPr>
      <w:r>
        <w:rPr>
          <w:rFonts w:cs="Tahoma"/>
          <w:iCs/>
          <w:szCs w:val="18"/>
        </w:rPr>
        <w:t>202</w:t>
      </w:r>
      <w:r w:rsidR="00747CCE">
        <w:rPr>
          <w:rFonts w:cs="Tahoma"/>
          <w:iCs/>
          <w:szCs w:val="18"/>
        </w:rPr>
        <w:t>2</w:t>
      </w:r>
      <w:r>
        <w:rPr>
          <w:rFonts w:cs="Tahoma"/>
          <w:iCs/>
          <w:szCs w:val="18"/>
        </w:rPr>
        <w:t>.</w:t>
      </w:r>
      <w:r w:rsidR="00747CCE">
        <w:rPr>
          <w:rFonts w:cs="Tahoma"/>
          <w:iCs/>
          <w:szCs w:val="18"/>
        </w:rPr>
        <w:t xml:space="preserve"> </w:t>
      </w:r>
      <w:r w:rsidRPr="00D015A3">
        <w:rPr>
          <w:rFonts w:cs="Tahoma"/>
          <w:iCs/>
          <w:szCs w:val="18"/>
        </w:rPr>
        <w:t>gadā Nacionālais veselības dienests finansē</w:t>
      </w:r>
      <w:r>
        <w:rPr>
          <w:rFonts w:cs="Tahoma"/>
          <w:iCs/>
          <w:szCs w:val="18"/>
        </w:rPr>
        <w:t xml:space="preserve"> sniegtos pakalpojumus</w:t>
      </w:r>
      <w:r w:rsidRPr="00D015A3">
        <w:rPr>
          <w:rFonts w:cs="Tahoma"/>
          <w:iCs/>
          <w:szCs w:val="18"/>
        </w:rPr>
        <w:t>:</w:t>
      </w:r>
    </w:p>
    <w:p w14:paraId="6C8BE67C" w14:textId="77777777" w:rsidR="002A0A40" w:rsidRDefault="002A0A40" w:rsidP="002A0A40">
      <w:pPr>
        <w:widowControl w:val="0"/>
        <w:numPr>
          <w:ilvl w:val="0"/>
          <w:numId w:val="5"/>
        </w:numPr>
        <w:tabs>
          <w:tab w:val="clear" w:pos="1800"/>
        </w:tabs>
        <w:autoSpaceDE w:val="0"/>
        <w:autoSpaceDN w:val="0"/>
        <w:adjustRightInd w:val="0"/>
        <w:spacing w:before="120" w:after="120" w:line="240" w:lineRule="auto"/>
        <w:ind w:left="1134" w:hanging="425"/>
        <w:jc w:val="both"/>
        <w:rPr>
          <w:rFonts w:cs="Tahoma"/>
          <w:iCs/>
          <w:szCs w:val="18"/>
        </w:rPr>
      </w:pPr>
      <w:r w:rsidRPr="00D015A3">
        <w:rPr>
          <w:rFonts w:cs="Tahoma"/>
          <w:iCs/>
          <w:szCs w:val="18"/>
        </w:rPr>
        <w:t>psihiatrijas kabinetā,</w:t>
      </w:r>
    </w:p>
    <w:p w14:paraId="4E160891" w14:textId="77777777" w:rsidR="002A0A40" w:rsidRPr="00D015A3" w:rsidRDefault="002A0A40" w:rsidP="002A0A40">
      <w:pPr>
        <w:widowControl w:val="0"/>
        <w:numPr>
          <w:ilvl w:val="0"/>
          <w:numId w:val="5"/>
        </w:numPr>
        <w:tabs>
          <w:tab w:val="clear" w:pos="1800"/>
        </w:tabs>
        <w:autoSpaceDE w:val="0"/>
        <w:autoSpaceDN w:val="0"/>
        <w:adjustRightInd w:val="0"/>
        <w:spacing w:before="120" w:after="120" w:line="240" w:lineRule="auto"/>
        <w:ind w:left="1134" w:hanging="425"/>
        <w:jc w:val="both"/>
        <w:rPr>
          <w:rFonts w:cs="Tahoma"/>
          <w:iCs/>
          <w:szCs w:val="18"/>
        </w:rPr>
      </w:pPr>
      <w:r>
        <w:rPr>
          <w:rFonts w:cs="Tahoma"/>
          <w:iCs/>
          <w:szCs w:val="18"/>
        </w:rPr>
        <w:t>psihoemocionālās  veselības uzraudzības un atbalsta kabinetā,</w:t>
      </w:r>
    </w:p>
    <w:p w14:paraId="3E537206" w14:textId="77777777" w:rsidR="002A0A40" w:rsidRDefault="002A0A40" w:rsidP="002A0A40">
      <w:pPr>
        <w:widowControl w:val="0"/>
        <w:numPr>
          <w:ilvl w:val="0"/>
          <w:numId w:val="5"/>
        </w:numPr>
        <w:tabs>
          <w:tab w:val="clear" w:pos="1800"/>
        </w:tabs>
        <w:autoSpaceDE w:val="0"/>
        <w:autoSpaceDN w:val="0"/>
        <w:adjustRightInd w:val="0"/>
        <w:spacing w:before="120" w:after="120" w:line="240" w:lineRule="auto"/>
        <w:ind w:left="1134" w:hanging="425"/>
        <w:jc w:val="both"/>
        <w:rPr>
          <w:rFonts w:cs="Tahoma"/>
          <w:iCs/>
          <w:szCs w:val="18"/>
        </w:rPr>
      </w:pPr>
      <w:r w:rsidRPr="00D015A3">
        <w:rPr>
          <w:rFonts w:cs="Tahoma"/>
          <w:iCs/>
          <w:szCs w:val="18"/>
        </w:rPr>
        <w:t>pneimonologa kabinetā</w:t>
      </w:r>
      <w:r>
        <w:rPr>
          <w:rFonts w:cs="Tahoma"/>
          <w:iCs/>
          <w:szCs w:val="18"/>
        </w:rPr>
        <w:t>,</w:t>
      </w:r>
    </w:p>
    <w:p w14:paraId="224A37BC" w14:textId="77777777" w:rsidR="002A0A40" w:rsidRDefault="002A0A40" w:rsidP="002A0A40">
      <w:pPr>
        <w:widowControl w:val="0"/>
        <w:numPr>
          <w:ilvl w:val="0"/>
          <w:numId w:val="5"/>
        </w:numPr>
        <w:tabs>
          <w:tab w:val="clear" w:pos="1800"/>
        </w:tabs>
        <w:autoSpaceDE w:val="0"/>
        <w:autoSpaceDN w:val="0"/>
        <w:adjustRightInd w:val="0"/>
        <w:spacing w:before="120" w:after="120" w:line="240" w:lineRule="auto"/>
        <w:ind w:left="1134" w:hanging="425"/>
        <w:jc w:val="both"/>
        <w:rPr>
          <w:rFonts w:cs="Tahoma"/>
          <w:iCs/>
          <w:szCs w:val="18"/>
        </w:rPr>
      </w:pPr>
      <w:r>
        <w:rPr>
          <w:rFonts w:cs="Tahoma"/>
          <w:iCs/>
          <w:szCs w:val="18"/>
        </w:rPr>
        <w:t>diabētiskās pēdas aprūpes kabinetā,</w:t>
      </w:r>
    </w:p>
    <w:p w14:paraId="1448DBD3" w14:textId="77777777" w:rsidR="002A0A40" w:rsidRDefault="002A0A40" w:rsidP="002A0A40">
      <w:pPr>
        <w:widowControl w:val="0"/>
        <w:numPr>
          <w:ilvl w:val="0"/>
          <w:numId w:val="5"/>
        </w:numPr>
        <w:tabs>
          <w:tab w:val="clear" w:pos="1800"/>
        </w:tabs>
        <w:autoSpaceDE w:val="0"/>
        <w:autoSpaceDN w:val="0"/>
        <w:adjustRightInd w:val="0"/>
        <w:spacing w:before="120" w:after="120" w:line="240" w:lineRule="auto"/>
        <w:ind w:left="1134" w:hanging="425"/>
        <w:jc w:val="both"/>
        <w:rPr>
          <w:rFonts w:cs="Tahoma"/>
          <w:iCs/>
          <w:szCs w:val="18"/>
        </w:rPr>
      </w:pPr>
      <w:r>
        <w:rPr>
          <w:rFonts w:cs="Tahoma"/>
          <w:iCs/>
          <w:szCs w:val="18"/>
        </w:rPr>
        <w:t>diabēta apmācības kabinetā,</w:t>
      </w:r>
    </w:p>
    <w:p w14:paraId="4A25EDCA" w14:textId="77777777" w:rsidR="002A0A40" w:rsidRPr="000503BB" w:rsidRDefault="002A0A40" w:rsidP="002A0A40">
      <w:pPr>
        <w:widowControl w:val="0"/>
        <w:numPr>
          <w:ilvl w:val="0"/>
          <w:numId w:val="5"/>
        </w:numPr>
        <w:tabs>
          <w:tab w:val="clear" w:pos="1800"/>
        </w:tabs>
        <w:autoSpaceDE w:val="0"/>
        <w:autoSpaceDN w:val="0"/>
        <w:adjustRightInd w:val="0"/>
        <w:spacing w:before="120" w:after="120" w:line="240" w:lineRule="auto"/>
        <w:ind w:left="1134" w:hanging="425"/>
        <w:jc w:val="both"/>
        <w:rPr>
          <w:rFonts w:cs="Tahoma"/>
          <w:iCs/>
          <w:color w:val="000000" w:themeColor="text1"/>
          <w:szCs w:val="18"/>
        </w:rPr>
      </w:pPr>
      <w:r w:rsidRPr="000503BB">
        <w:rPr>
          <w:rFonts w:cs="Tahoma"/>
          <w:iCs/>
          <w:color w:val="000000" w:themeColor="text1"/>
          <w:szCs w:val="18"/>
        </w:rPr>
        <w:t>uzņemšanas nodaļā.</w:t>
      </w:r>
    </w:p>
    <w:p w14:paraId="2C204ACE" w14:textId="77777777" w:rsidR="002A0A40" w:rsidRDefault="002A0A40" w:rsidP="002A0A40">
      <w:pPr>
        <w:spacing w:before="120" w:after="120"/>
        <w:jc w:val="both"/>
        <w:rPr>
          <w:rFonts w:cs="Tahoma"/>
          <w:szCs w:val="18"/>
        </w:rPr>
      </w:pPr>
      <w:r w:rsidRPr="00405E97">
        <w:rPr>
          <w:rFonts w:cs="Tahoma"/>
          <w:szCs w:val="18"/>
        </w:rPr>
        <w:lastRenderedPageBreak/>
        <w:t xml:space="preserve">Ir optimizēts medikamentu un medicīnas preču izlietojums nodaļās, tomēr izmaksas paaugstina papildus iegādājamo dezinfekcijas un aizsardzības līdzekļu iegāde. Sabiedrībā  ir pilnīgi nokomplektēti ārstu, medicīnas māsu štati. </w:t>
      </w:r>
    </w:p>
    <w:p w14:paraId="67D9FDC6" w14:textId="7BC37821" w:rsidR="002A0A40" w:rsidRDefault="002A0A40" w:rsidP="002A0A40">
      <w:pPr>
        <w:spacing w:after="0" w:line="240" w:lineRule="auto"/>
        <w:jc w:val="both"/>
        <w:rPr>
          <w:rFonts w:cs="Tahoma"/>
          <w:color w:val="000000" w:themeColor="text1"/>
          <w:szCs w:val="18"/>
        </w:rPr>
      </w:pPr>
      <w:r>
        <w:rPr>
          <w:rFonts w:cs="Tahoma"/>
          <w:color w:val="000000" w:themeColor="text1"/>
          <w:szCs w:val="18"/>
        </w:rPr>
        <w:t>2022. gada maijā saņemts Limbažu novada finansējums EUR 35000.00 pamatkapitāla palielināšanai.</w:t>
      </w:r>
    </w:p>
    <w:p w14:paraId="14E4889F" w14:textId="77777777" w:rsidR="00DB59B8" w:rsidRDefault="00DB59B8" w:rsidP="002A0A40">
      <w:pPr>
        <w:spacing w:after="0" w:line="240" w:lineRule="auto"/>
        <w:jc w:val="both"/>
        <w:rPr>
          <w:rFonts w:cs="Tahoma"/>
          <w:color w:val="000000" w:themeColor="text1"/>
          <w:szCs w:val="18"/>
        </w:rPr>
      </w:pPr>
    </w:p>
    <w:p w14:paraId="143455C6" w14:textId="77777777" w:rsidR="0076117A" w:rsidRDefault="0076117A" w:rsidP="0076117A">
      <w:pPr>
        <w:spacing w:after="0" w:line="240" w:lineRule="auto"/>
        <w:jc w:val="both"/>
        <w:rPr>
          <w:rFonts w:cs="Tahoma"/>
          <w:color w:val="000000" w:themeColor="text1"/>
          <w:szCs w:val="18"/>
        </w:rPr>
      </w:pPr>
      <w:r>
        <w:rPr>
          <w:rFonts w:cs="Tahoma"/>
          <w:color w:val="000000" w:themeColor="text1"/>
          <w:szCs w:val="18"/>
        </w:rPr>
        <w:t>2021. gada 22. decembrī noslēgts trīspusējs līgums  starp Latvijas republikas Veselības ministriju, Nacionālo Veselības dienestu un Sabiedrību par  medicīnisko iekārtu un papildaprīkojuma iegādi  EUR 79 500.-</w:t>
      </w:r>
    </w:p>
    <w:p w14:paraId="404E3AD8" w14:textId="77777777" w:rsidR="0076117A" w:rsidRDefault="0076117A" w:rsidP="002A0A40">
      <w:pPr>
        <w:spacing w:after="0" w:line="240" w:lineRule="auto"/>
        <w:jc w:val="both"/>
        <w:rPr>
          <w:rFonts w:cs="Tahoma"/>
          <w:color w:val="000000" w:themeColor="text1"/>
          <w:szCs w:val="18"/>
        </w:rPr>
      </w:pPr>
    </w:p>
    <w:p w14:paraId="048C97B8" w14:textId="1A72FFB3" w:rsidR="00223FC1" w:rsidRDefault="00223FC1" w:rsidP="002A0A40">
      <w:pPr>
        <w:spacing w:after="0" w:line="240" w:lineRule="auto"/>
        <w:jc w:val="both"/>
        <w:rPr>
          <w:rFonts w:cs="Tahoma"/>
          <w:color w:val="000000" w:themeColor="text1"/>
          <w:szCs w:val="18"/>
        </w:rPr>
      </w:pPr>
      <w:r>
        <w:rPr>
          <w:rFonts w:cs="Tahoma"/>
          <w:color w:val="000000" w:themeColor="text1"/>
          <w:szCs w:val="18"/>
        </w:rPr>
        <w:t>Šī līguma ietvaros  2022. gada 2. ceturksnī iegādātas medicīnas iekārtas un aprīkojums</w:t>
      </w:r>
      <w:r w:rsidR="004F74E6">
        <w:rPr>
          <w:rFonts w:cs="Tahoma"/>
          <w:color w:val="000000" w:themeColor="text1"/>
          <w:szCs w:val="18"/>
        </w:rPr>
        <w:t>:</w:t>
      </w:r>
    </w:p>
    <w:p w14:paraId="03E36C22" w14:textId="29A0A13E" w:rsidR="004F74E6" w:rsidRDefault="00F21810" w:rsidP="002A0A40">
      <w:pPr>
        <w:spacing w:after="0" w:line="240" w:lineRule="auto"/>
        <w:jc w:val="both"/>
        <w:rPr>
          <w:rFonts w:cs="Tahoma"/>
          <w:color w:val="000000" w:themeColor="text1"/>
          <w:szCs w:val="18"/>
        </w:rPr>
      </w:pPr>
      <w:r>
        <w:rPr>
          <w:rFonts w:cs="Tahoma"/>
          <w:color w:val="000000" w:themeColor="text1"/>
          <w:szCs w:val="18"/>
        </w:rPr>
        <w:t>i</w:t>
      </w:r>
      <w:r w:rsidR="004F74E6">
        <w:rPr>
          <w:rFonts w:cs="Tahoma"/>
          <w:color w:val="000000" w:themeColor="text1"/>
          <w:szCs w:val="18"/>
        </w:rPr>
        <w:t>nfūziju statīv</w:t>
      </w:r>
      <w:r w:rsidR="00CF0251">
        <w:rPr>
          <w:rFonts w:cs="Tahoma"/>
          <w:color w:val="000000" w:themeColor="text1"/>
          <w:szCs w:val="18"/>
        </w:rPr>
        <w:t>i</w:t>
      </w:r>
      <w:r w:rsidR="004F74E6">
        <w:rPr>
          <w:rFonts w:cs="Tahoma"/>
          <w:color w:val="000000" w:themeColor="text1"/>
          <w:szCs w:val="18"/>
        </w:rPr>
        <w:t xml:space="preserve"> </w:t>
      </w:r>
      <w:r w:rsidR="00CF0251">
        <w:rPr>
          <w:rFonts w:cs="Tahoma"/>
          <w:color w:val="000000" w:themeColor="text1"/>
          <w:szCs w:val="18"/>
        </w:rPr>
        <w:t>25gb.,</w:t>
      </w:r>
    </w:p>
    <w:p w14:paraId="6C2F259D" w14:textId="1EE3F0B2" w:rsidR="00CF0251" w:rsidRDefault="00F21810" w:rsidP="002A0A40">
      <w:pPr>
        <w:spacing w:after="0" w:line="240" w:lineRule="auto"/>
        <w:jc w:val="both"/>
        <w:rPr>
          <w:rFonts w:cs="Tahoma"/>
          <w:color w:val="000000" w:themeColor="text1"/>
          <w:szCs w:val="18"/>
        </w:rPr>
      </w:pPr>
      <w:r>
        <w:rPr>
          <w:rFonts w:cs="Tahoma"/>
          <w:color w:val="000000" w:themeColor="text1"/>
          <w:szCs w:val="18"/>
        </w:rPr>
        <w:t>f</w:t>
      </w:r>
      <w:r w:rsidR="004F74E6">
        <w:rPr>
          <w:rFonts w:cs="Tahoma"/>
          <w:color w:val="000000" w:themeColor="text1"/>
          <w:szCs w:val="18"/>
        </w:rPr>
        <w:t>unkcionālie rati pacientu pārvietošanai</w:t>
      </w:r>
      <w:r w:rsidR="00CF0251">
        <w:rPr>
          <w:rFonts w:cs="Tahoma"/>
          <w:color w:val="000000" w:themeColor="text1"/>
          <w:szCs w:val="18"/>
        </w:rPr>
        <w:t>-2 gb.,</w:t>
      </w:r>
    </w:p>
    <w:p w14:paraId="3BBA97A6" w14:textId="6A8DDDD3" w:rsidR="00CF0251" w:rsidRDefault="00F21810" w:rsidP="002A0A40">
      <w:pPr>
        <w:spacing w:after="0" w:line="240" w:lineRule="auto"/>
        <w:jc w:val="both"/>
        <w:rPr>
          <w:rFonts w:cs="Tahoma"/>
          <w:color w:val="000000" w:themeColor="text1"/>
          <w:szCs w:val="18"/>
        </w:rPr>
      </w:pPr>
      <w:r>
        <w:rPr>
          <w:rFonts w:cs="Tahoma"/>
          <w:color w:val="000000" w:themeColor="text1"/>
          <w:szCs w:val="18"/>
        </w:rPr>
        <w:t>s</w:t>
      </w:r>
      <w:r w:rsidR="00CF0251">
        <w:rPr>
          <w:rFonts w:cs="Tahoma"/>
          <w:color w:val="000000" w:themeColor="text1"/>
          <w:szCs w:val="18"/>
        </w:rPr>
        <w:t>ēdkrēsli pacientu pārvietošanai 4 gb.</w:t>
      </w:r>
    </w:p>
    <w:p w14:paraId="063072F3" w14:textId="5FF2CA4B" w:rsidR="00F21810" w:rsidRDefault="00F21810" w:rsidP="002A0A40">
      <w:pPr>
        <w:spacing w:after="0" w:line="240" w:lineRule="auto"/>
        <w:jc w:val="both"/>
        <w:rPr>
          <w:rFonts w:cs="Tahoma"/>
          <w:color w:val="000000" w:themeColor="text1"/>
          <w:szCs w:val="18"/>
        </w:rPr>
      </w:pPr>
      <w:r>
        <w:rPr>
          <w:rFonts w:cs="Tahoma"/>
          <w:color w:val="000000" w:themeColor="text1"/>
          <w:szCs w:val="18"/>
        </w:rPr>
        <w:t>aizslietņi-10 gb.,</w:t>
      </w:r>
    </w:p>
    <w:p w14:paraId="16A29804" w14:textId="52B4DEE0" w:rsidR="00F21810" w:rsidRDefault="00F21810" w:rsidP="002A0A40">
      <w:pPr>
        <w:spacing w:after="0" w:line="240" w:lineRule="auto"/>
        <w:jc w:val="both"/>
        <w:rPr>
          <w:rFonts w:cs="Tahoma"/>
          <w:color w:val="000000" w:themeColor="text1"/>
          <w:szCs w:val="18"/>
        </w:rPr>
      </w:pPr>
      <w:r>
        <w:rPr>
          <w:rFonts w:cs="Tahoma"/>
          <w:color w:val="000000" w:themeColor="text1"/>
          <w:szCs w:val="18"/>
        </w:rPr>
        <w:t>funkcionālās gultas -10gb.</w:t>
      </w:r>
    </w:p>
    <w:p w14:paraId="38FF16EB" w14:textId="14F3C40E" w:rsidR="00D849DA" w:rsidRDefault="00D849DA" w:rsidP="002A0A40">
      <w:pPr>
        <w:spacing w:after="0" w:line="240" w:lineRule="auto"/>
        <w:jc w:val="both"/>
        <w:rPr>
          <w:rFonts w:cs="Tahoma"/>
          <w:color w:val="000000" w:themeColor="text1"/>
          <w:szCs w:val="18"/>
        </w:rPr>
      </w:pPr>
      <w:r>
        <w:rPr>
          <w:rFonts w:cs="Tahoma"/>
          <w:color w:val="000000" w:themeColor="text1"/>
          <w:szCs w:val="18"/>
        </w:rPr>
        <w:t xml:space="preserve">2022. gada </w:t>
      </w:r>
      <w:r w:rsidR="00ED0B4C">
        <w:rPr>
          <w:rFonts w:cs="Tahoma"/>
          <w:color w:val="000000" w:themeColor="text1"/>
          <w:szCs w:val="18"/>
        </w:rPr>
        <w:t>2</w:t>
      </w:r>
      <w:r>
        <w:rPr>
          <w:rFonts w:cs="Tahoma"/>
          <w:color w:val="000000" w:themeColor="text1"/>
          <w:szCs w:val="18"/>
        </w:rPr>
        <w:t>. ceturksnī  par Sabiedrības līdzekļiem iegādāt</w:t>
      </w:r>
      <w:r w:rsidR="00DB59B8">
        <w:rPr>
          <w:rFonts w:cs="Tahoma"/>
          <w:color w:val="000000" w:themeColor="text1"/>
          <w:szCs w:val="18"/>
        </w:rPr>
        <w:t>s aprīkojums:</w:t>
      </w:r>
    </w:p>
    <w:p w14:paraId="4CCBF322" w14:textId="1344B154" w:rsidR="00DB59B8" w:rsidRDefault="00DB59B8" w:rsidP="002A0A40">
      <w:pPr>
        <w:spacing w:after="0" w:line="240" w:lineRule="auto"/>
        <w:jc w:val="both"/>
        <w:rPr>
          <w:rFonts w:cs="Tahoma"/>
          <w:color w:val="000000" w:themeColor="text1"/>
          <w:szCs w:val="18"/>
        </w:rPr>
      </w:pPr>
      <w:r>
        <w:rPr>
          <w:rFonts w:cs="Tahoma"/>
          <w:color w:val="000000" w:themeColor="text1"/>
          <w:szCs w:val="18"/>
        </w:rPr>
        <w:t xml:space="preserve">no SIA Arbor Medical par EUR </w:t>
      </w:r>
      <w:r w:rsidR="00ED0B4C">
        <w:rPr>
          <w:rFonts w:cs="Tahoma"/>
          <w:color w:val="000000" w:themeColor="text1"/>
          <w:szCs w:val="18"/>
        </w:rPr>
        <w:t>2662.00 manipulāciju lampa</w:t>
      </w:r>
      <w:r>
        <w:rPr>
          <w:rFonts w:cs="Tahoma"/>
          <w:color w:val="000000" w:themeColor="text1"/>
          <w:szCs w:val="18"/>
        </w:rPr>
        <w:t>,</w:t>
      </w:r>
    </w:p>
    <w:p w14:paraId="5CC6B39C" w14:textId="4585FFED" w:rsidR="00DB59B8" w:rsidRDefault="00DB59B8" w:rsidP="002A0A40">
      <w:pPr>
        <w:spacing w:after="0" w:line="240" w:lineRule="auto"/>
        <w:jc w:val="both"/>
        <w:rPr>
          <w:rFonts w:cs="Tahoma"/>
          <w:color w:val="000000" w:themeColor="text1"/>
          <w:szCs w:val="18"/>
        </w:rPr>
      </w:pPr>
      <w:r>
        <w:rPr>
          <w:rFonts w:cs="Tahoma"/>
          <w:color w:val="000000" w:themeColor="text1"/>
          <w:szCs w:val="18"/>
        </w:rPr>
        <w:t>no SIA O</w:t>
      </w:r>
      <w:r w:rsidR="00ED0B4C">
        <w:rPr>
          <w:rFonts w:cs="Tahoma"/>
          <w:color w:val="000000" w:themeColor="text1"/>
          <w:szCs w:val="18"/>
        </w:rPr>
        <w:t>C Vision</w:t>
      </w:r>
      <w:r>
        <w:rPr>
          <w:rFonts w:cs="Tahoma"/>
          <w:color w:val="000000" w:themeColor="text1"/>
          <w:szCs w:val="18"/>
        </w:rPr>
        <w:t xml:space="preserve"> par EUR </w:t>
      </w:r>
      <w:r w:rsidR="00ED0B4C">
        <w:rPr>
          <w:rFonts w:cs="Tahoma"/>
          <w:color w:val="000000" w:themeColor="text1"/>
          <w:szCs w:val="18"/>
        </w:rPr>
        <w:t>17 787.00   digitālā fundus</w:t>
      </w:r>
      <w:r w:rsidR="005D09C7">
        <w:rPr>
          <w:rFonts w:cs="Tahoma"/>
          <w:color w:val="000000" w:themeColor="text1"/>
          <w:szCs w:val="18"/>
        </w:rPr>
        <w:t>a</w:t>
      </w:r>
      <w:r w:rsidR="00ED0B4C">
        <w:rPr>
          <w:rFonts w:cs="Tahoma"/>
          <w:color w:val="000000" w:themeColor="text1"/>
          <w:szCs w:val="18"/>
        </w:rPr>
        <w:t xml:space="preserve">  kamera</w:t>
      </w:r>
      <w:r>
        <w:rPr>
          <w:rFonts w:cs="Tahoma"/>
          <w:color w:val="000000" w:themeColor="text1"/>
          <w:szCs w:val="18"/>
        </w:rPr>
        <w:t>,</w:t>
      </w:r>
    </w:p>
    <w:p w14:paraId="07BA5B2C" w14:textId="38F122D5" w:rsidR="00F630D5" w:rsidRDefault="00DB59B8" w:rsidP="002A0A40">
      <w:pPr>
        <w:spacing w:after="0" w:line="240" w:lineRule="auto"/>
        <w:jc w:val="both"/>
        <w:rPr>
          <w:rFonts w:cs="Tahoma"/>
          <w:color w:val="000000" w:themeColor="text1"/>
          <w:szCs w:val="18"/>
        </w:rPr>
      </w:pPr>
      <w:r>
        <w:rPr>
          <w:rFonts w:cs="Tahoma"/>
          <w:color w:val="000000" w:themeColor="text1"/>
          <w:szCs w:val="18"/>
        </w:rPr>
        <w:t xml:space="preserve">no SIA </w:t>
      </w:r>
      <w:r w:rsidR="00ED0B4C">
        <w:rPr>
          <w:rFonts w:cs="Tahoma"/>
          <w:color w:val="000000" w:themeColor="text1"/>
          <w:szCs w:val="18"/>
        </w:rPr>
        <w:t>Baltijas Tehnoloģiju Korporācija</w:t>
      </w:r>
      <w:r>
        <w:rPr>
          <w:rFonts w:cs="Tahoma"/>
          <w:color w:val="000000" w:themeColor="text1"/>
          <w:szCs w:val="18"/>
        </w:rPr>
        <w:t xml:space="preserve"> par EUR </w:t>
      </w:r>
      <w:r w:rsidR="00ED0B4C">
        <w:rPr>
          <w:rFonts w:cs="Tahoma"/>
          <w:color w:val="000000" w:themeColor="text1"/>
          <w:szCs w:val="18"/>
        </w:rPr>
        <w:t>23982.20  Radiologa darba  stacija.</w:t>
      </w:r>
    </w:p>
    <w:p w14:paraId="4A2B400D" w14:textId="77777777" w:rsidR="00F630D5" w:rsidRDefault="00F630D5" w:rsidP="002A0A40">
      <w:pPr>
        <w:spacing w:after="0" w:line="240" w:lineRule="auto"/>
        <w:jc w:val="both"/>
        <w:rPr>
          <w:rFonts w:cs="Tahoma"/>
          <w:color w:val="000000" w:themeColor="text1"/>
          <w:szCs w:val="18"/>
        </w:rPr>
      </w:pPr>
    </w:p>
    <w:p w14:paraId="260B1D3B" w14:textId="136D37E1" w:rsidR="00F630D5" w:rsidRDefault="00F630D5" w:rsidP="002A0A40">
      <w:pPr>
        <w:spacing w:after="0" w:line="240" w:lineRule="auto"/>
        <w:jc w:val="both"/>
        <w:rPr>
          <w:rFonts w:cs="Tahoma"/>
          <w:color w:val="000000" w:themeColor="text1"/>
          <w:szCs w:val="18"/>
        </w:rPr>
      </w:pPr>
    </w:p>
    <w:p w14:paraId="02ED1133" w14:textId="460D75F0" w:rsidR="00F630D5" w:rsidRDefault="00F630D5" w:rsidP="00F630D5">
      <w:pPr>
        <w:pStyle w:val="Galvene"/>
        <w:tabs>
          <w:tab w:val="clear" w:pos="4513"/>
          <w:tab w:val="center" w:pos="4537"/>
        </w:tabs>
        <w:jc w:val="both"/>
        <w:rPr>
          <w:lang w:val="en-AU"/>
        </w:rPr>
      </w:pPr>
      <w:r w:rsidRPr="00F630D5">
        <w:rPr>
          <w:lang w:val="en-AU"/>
        </w:rPr>
        <w:t xml:space="preserve">Salīdzinot 2022. gada ar 2021. </w:t>
      </w:r>
      <w:r w:rsidR="0040310E">
        <w:rPr>
          <w:lang w:val="en-AU"/>
        </w:rPr>
        <w:t>g</w:t>
      </w:r>
      <w:r w:rsidRPr="00F630D5">
        <w:rPr>
          <w:lang w:val="en-AU"/>
        </w:rPr>
        <w:t>ada</w:t>
      </w:r>
      <w:r w:rsidR="0076117A">
        <w:rPr>
          <w:lang w:val="en-AU"/>
        </w:rPr>
        <w:t xml:space="preserve"> </w:t>
      </w:r>
      <w:r w:rsidR="00706749">
        <w:rPr>
          <w:lang w:val="en-AU"/>
        </w:rPr>
        <w:t>otro ceturksni</w:t>
      </w:r>
      <w:r w:rsidRPr="00F630D5">
        <w:rPr>
          <w:lang w:val="en-AU"/>
        </w:rPr>
        <w:t xml:space="preserve">, </w:t>
      </w:r>
      <w:r w:rsidRPr="00F630D5">
        <w:t xml:space="preserve">palielinājušies ieņēmumi no Nacionālā veselības dienesta (turpmāk NVD) finansētajiem ārstniecības pakalpojumi par </w:t>
      </w:r>
      <w:r w:rsidR="00706749">
        <w:t>32390.89</w:t>
      </w:r>
      <w:r w:rsidRPr="00F630D5">
        <w:t xml:space="preserve"> EIRO, jeb </w:t>
      </w:r>
      <w:r w:rsidR="00706749">
        <w:t>4.06</w:t>
      </w:r>
      <w:r w:rsidRPr="00F630D5">
        <w:t xml:space="preserve"> %, </w:t>
      </w:r>
      <w:r w:rsidRPr="00F630D5">
        <w:rPr>
          <w:lang w:val="en-AU"/>
        </w:rPr>
        <w:t xml:space="preserve">un šī perioda beigās sastāda </w:t>
      </w:r>
      <w:r w:rsidR="00706749">
        <w:rPr>
          <w:lang w:val="en-AU"/>
        </w:rPr>
        <w:t>830</w:t>
      </w:r>
      <w:r w:rsidRPr="00F630D5">
        <w:rPr>
          <w:lang w:val="en-AU"/>
        </w:rPr>
        <w:t> 578,17 EIRO. Salīdzinājumā ar 2022. gada pirmo ceturksni samazinājušas par 65 095,41 EIRO, jeb 7,84 %, uz to ietekmēja vairāki faktori, bet būtiskākais faktors ir Covid-19 pacientu samazinājums, kas sastāda 56 586,79 EIRO. NVD finansējums sadalās sekojoši:</w:t>
      </w:r>
    </w:p>
    <w:p w14:paraId="76923026" w14:textId="2A1A6BA3" w:rsidR="00F630D5" w:rsidRPr="00F630D5" w:rsidRDefault="00F630D5" w:rsidP="0040310E">
      <w:pPr>
        <w:pStyle w:val="Galvene"/>
        <w:tabs>
          <w:tab w:val="clear" w:pos="4513"/>
          <w:tab w:val="center" w:pos="4537"/>
        </w:tabs>
        <w:ind w:left="426"/>
        <w:jc w:val="both"/>
        <w:rPr>
          <w:lang w:val="en-AU"/>
        </w:rPr>
      </w:pPr>
      <w:r w:rsidRPr="00F630D5">
        <w:rPr>
          <w:lang w:val="en-AU"/>
        </w:rPr>
        <w:t>- Sekundarājam veselības aprūpes pakalpojumiem NVD finansējums palielinājies par 27 445,70 EIRO, jeb 6,31 % un, 2022. gada otrajā ceturksnī</w:t>
      </w:r>
      <w:r w:rsidRPr="00F630D5">
        <w:rPr>
          <w:sz w:val="20"/>
          <w:szCs w:val="20"/>
          <w:lang w:val="en-AU"/>
        </w:rPr>
        <w:t xml:space="preserve"> </w:t>
      </w:r>
      <w:r w:rsidRPr="00F630D5">
        <w:rPr>
          <w:lang w:val="en-AU"/>
        </w:rPr>
        <w:t xml:space="preserve">sastāda 462 290,72 EIRO. </w:t>
      </w:r>
    </w:p>
    <w:p w14:paraId="0A95D9D8" w14:textId="52A026F4" w:rsidR="00F630D5" w:rsidRPr="00F630D5" w:rsidRDefault="00F630D5" w:rsidP="00F630D5">
      <w:pPr>
        <w:pStyle w:val="Galvene"/>
        <w:ind w:left="567" w:hanging="141"/>
        <w:jc w:val="both"/>
      </w:pPr>
      <w:r w:rsidRPr="00F630D5">
        <w:t>- Primārajām veselības aprūpes pakalpojumiem NVD finansējums samazinājies par 1 347,40 EIRO, jeb 4,36 % un, 2022. gada otrajā ceturksnī sastāda 30 931,50 EIRO. Neskatoties uz to, ka  pakalpojumam veselības aprūpe mājas finansējums ir palielinājies par 3 405,78 EIRO, zobārstniecības pakalpojumiem finansējums ir samazināts  par 4 753,18 EUR. Uz pakalpojuma izpildi joprojām ietekmē tas, ka 2021. gadā darba attiecības ar SIA “Limbažu slimnīca” izbeidza divi zobārsti.</w:t>
      </w:r>
    </w:p>
    <w:p w14:paraId="02490B38" w14:textId="65033734" w:rsidR="00F630D5" w:rsidRPr="00F630D5" w:rsidRDefault="00F630D5" w:rsidP="00F630D5">
      <w:pPr>
        <w:pStyle w:val="Galvene"/>
        <w:ind w:left="567" w:hanging="141"/>
        <w:jc w:val="both"/>
        <w:rPr>
          <w:lang w:val="en-AU"/>
        </w:rPr>
      </w:pPr>
      <w:r w:rsidRPr="00F630D5">
        <w:t xml:space="preserve">- Darbs vakcinācijas kabinetā </w:t>
      </w:r>
      <w:r w:rsidRPr="00F630D5">
        <w:rPr>
          <w:lang w:val="en-AU"/>
        </w:rPr>
        <w:t xml:space="preserve">samazinājies par 26 265,67 EIRO, un, 2022. gada otrajā ceturksnī sastāda tikai 214,52 EIRO. Tas saistīts ar to, ka 2022. gadā iedzīvotāju vakcinācija attiecīgajā periodā vairs nebija stingri rekomendējoša. </w:t>
      </w:r>
    </w:p>
    <w:p w14:paraId="0298525F" w14:textId="4769BA8E" w:rsidR="00F630D5" w:rsidRPr="00F630D5" w:rsidRDefault="00F630D5" w:rsidP="00F630D5">
      <w:pPr>
        <w:pStyle w:val="Galvene"/>
        <w:ind w:left="567" w:hanging="141"/>
        <w:jc w:val="both"/>
        <w:rPr>
          <w:lang w:val="en-AU"/>
        </w:rPr>
      </w:pPr>
      <w:r w:rsidRPr="00F630D5">
        <w:t>- Samazinājušies,</w:t>
      </w:r>
      <w:r w:rsidRPr="00F630D5">
        <w:rPr>
          <w:sz w:val="20"/>
          <w:szCs w:val="20"/>
          <w:lang w:val="en-AU"/>
        </w:rPr>
        <w:t xml:space="preserve"> </w:t>
      </w:r>
      <w:r w:rsidRPr="00F630D5">
        <w:rPr>
          <w:lang w:val="en-AU"/>
        </w:rPr>
        <w:t>salīdzinājumā ar 2021. gada otro ceturksni,</w:t>
      </w:r>
      <w:r w:rsidRPr="00F630D5">
        <w:t xml:space="preserve"> ieņēmumi NVD finansējumam fiksētajiem ambulatorajiem veselības aprūpes pakalpojumiem par 1 707,03 EUR</w:t>
      </w:r>
      <w:r w:rsidRPr="00F630D5">
        <w:rPr>
          <w:lang w:val="en-AU"/>
        </w:rPr>
        <w:t>, jeb 3,05 %,</w:t>
      </w:r>
      <w:r w:rsidRPr="00F630D5">
        <w:rPr>
          <w:sz w:val="20"/>
          <w:szCs w:val="20"/>
          <w:lang w:val="en-AU"/>
        </w:rPr>
        <w:t xml:space="preserve"> </w:t>
      </w:r>
      <w:r w:rsidRPr="00F630D5">
        <w:rPr>
          <w:lang w:val="en-AU"/>
        </w:rPr>
        <w:t>sasniedzot</w:t>
      </w:r>
      <w:r w:rsidRPr="00F630D5">
        <w:rPr>
          <w:sz w:val="20"/>
          <w:szCs w:val="20"/>
          <w:lang w:val="en-AU"/>
        </w:rPr>
        <w:t xml:space="preserve"> </w:t>
      </w:r>
      <w:r w:rsidRPr="00F630D5">
        <w:rPr>
          <w:lang w:val="en-AU"/>
        </w:rPr>
        <w:t xml:space="preserve">trīs mēnešos 55 999,02 EIRO. </w:t>
      </w:r>
      <w:r w:rsidRPr="00F630D5">
        <w:t xml:space="preserve">Šis samazinājums attiecās uz nekvotēto ambulatoro veselības aprūpes pakalpojumu ka mamogrāfija. </w:t>
      </w:r>
      <w:r w:rsidRPr="00F630D5">
        <w:rPr>
          <w:lang w:val="en-AU"/>
        </w:rPr>
        <w:t xml:space="preserve"> Tas saistīts ar nepārtrauktu remontu mamogrāfijas aparātam, kas noslēdzas ar to, ka SIA “Arbor Medical Korporācija” iesniedza defekta aktu par iekārtas veiktspējas neiespējamību. Lai pacientiem nodrošinātu ši pakalpojuma pieejamību, SIA “Limbažu slimnīca” no š.g. jūlija mēneša organizēja mobīla mamogrāfa pieejamību. Šis pakalpojums bija ka paildus ieņēmums pie līguma ar NVD.</w:t>
      </w:r>
    </w:p>
    <w:p w14:paraId="1D9287DE" w14:textId="3E26AC4F" w:rsidR="00F630D5" w:rsidRPr="00F630D5" w:rsidRDefault="00F630D5" w:rsidP="00F630D5">
      <w:pPr>
        <w:pStyle w:val="Galvene"/>
        <w:ind w:left="567" w:hanging="141"/>
        <w:jc w:val="both"/>
      </w:pPr>
      <w:r w:rsidRPr="00F630D5">
        <w:t>- Palielinājies NVD finansējums uzņemšanas nodaļas darbības nodrošināšanai par 7 773 EIRO, jeb 5,38 % trīs mēnešos sasniedzot 152 202 EIRO.</w:t>
      </w:r>
    </w:p>
    <w:p w14:paraId="6BDB9957" w14:textId="6CAD1A8E" w:rsidR="00F630D5" w:rsidRPr="00F630D5" w:rsidRDefault="00F630D5" w:rsidP="00F630D5">
      <w:pPr>
        <w:pStyle w:val="Galvene"/>
        <w:ind w:left="567" w:hanging="141"/>
        <w:jc w:val="both"/>
        <w:rPr>
          <w:lang w:val="en-AU"/>
        </w:rPr>
      </w:pPr>
      <w:r w:rsidRPr="00F630D5">
        <w:t xml:space="preserve">- Pieaugums ir stacionāra veselības aprūpes pakalpojumu nodrošināšanai par 3 591,73 EIRO, jeb 3,84 %, kas kopējā NVD apmaksājamo pakalpojumu struktūrā  sastāda 97 069,89 EIRO. </w:t>
      </w:r>
      <w:r w:rsidRPr="00F630D5">
        <w:rPr>
          <w:lang w:val="en-AU"/>
        </w:rPr>
        <w:t>Salīdzinājumā ar 2022. gada pirmo ceturksni ieņēmumi samazinājušas par 6 899,40 EIRO. Tas saistīts ar to, ka tika ierobežota pacientu uzņemšana stacionārā dēļ darbinieku atvaļinājumiem, kuri sākušas jūnijā.</w:t>
      </w:r>
    </w:p>
    <w:p w14:paraId="1F00AC2D" w14:textId="70FA015D" w:rsidR="00F630D5" w:rsidRDefault="00F630D5" w:rsidP="00F630D5">
      <w:pPr>
        <w:pStyle w:val="Galvene"/>
        <w:ind w:left="567" w:hanging="141"/>
        <w:jc w:val="both"/>
        <w:rPr>
          <w:lang w:val="en-AU"/>
        </w:rPr>
      </w:pPr>
      <w:r w:rsidRPr="00F630D5">
        <w:t xml:space="preserve">- Pieauga NVD finansējums par 22 899,96 EIRO, kas nodrošina ārstēšanu pacientiem, kas saslima Covid-19 infekciju, un, </w:t>
      </w:r>
      <w:r w:rsidRPr="00F630D5">
        <w:rPr>
          <w:lang w:val="en-AU"/>
        </w:rPr>
        <w:t xml:space="preserve">2022. gada otrajā ceturksnī sastāda 31 870,52 EIRO. Tas saistīts ar to, ka SIA “Limbažu slimnīca” ir iekļauta hospitalizācijas plānā, lai atvieglotu augstāka līmeņa noslogojumu stacionārā. Bet </w:t>
      </w:r>
      <w:r w:rsidRPr="00F630D5">
        <w:rPr>
          <w:lang w:val="en-AU"/>
        </w:rPr>
        <w:lastRenderedPageBreak/>
        <w:t xml:space="preserve">salīdzinājumā ar 2022. gada pirmo ceturksni ir vērojams kritums par </w:t>
      </w:r>
      <w:r w:rsidRPr="00F630D5">
        <w:t>56 586,79</w:t>
      </w:r>
      <w:r w:rsidRPr="00F630D5">
        <w:rPr>
          <w:lang w:val="en-AU"/>
        </w:rPr>
        <w:t xml:space="preserve"> EIRO</w:t>
      </w:r>
      <w:r w:rsidR="007760E3">
        <w:rPr>
          <w:lang w:val="en-AU"/>
        </w:rPr>
        <w:t>, tas saistīts ar to, ka epidemioloģiskā situācija ar Covid-19 saslimšanu sāk stabilizēties.</w:t>
      </w:r>
    </w:p>
    <w:p w14:paraId="00A7B0C2" w14:textId="7E2359B9" w:rsidR="00F630D5" w:rsidRPr="00F630D5" w:rsidRDefault="00F630D5" w:rsidP="00F630D5">
      <w:pPr>
        <w:pStyle w:val="Galvene"/>
        <w:jc w:val="both"/>
      </w:pPr>
      <w:r w:rsidRPr="00F630D5">
        <w:t>Ieņēmumi no maksas medicīnas pakalpojumu sniegšanas salīdzinājumā ar iepriekšējo pārskata periodu palielinā</w:t>
      </w:r>
      <w:r w:rsidR="00715931">
        <w:t>ušies</w:t>
      </w:r>
      <w:r w:rsidRPr="00F630D5">
        <w:t xml:space="preserve">  par 791 EIRO, jeb 1.3 % un sastāda 59394 EIRO. Taj</w:t>
      </w:r>
      <w:r w:rsidR="00715931">
        <w:t>ā</w:t>
      </w:r>
      <w:r w:rsidRPr="00F630D5">
        <w:t xml:space="preserve"> skaitā ietilpst:</w:t>
      </w:r>
    </w:p>
    <w:p w14:paraId="4AC83F3F" w14:textId="1D1D1442" w:rsidR="00F630D5" w:rsidRPr="00F630D5" w:rsidRDefault="00F630D5" w:rsidP="00F630D5">
      <w:pPr>
        <w:pStyle w:val="Galvene"/>
        <w:jc w:val="both"/>
        <w:rPr>
          <w:lang w:val="en-AU"/>
        </w:rPr>
      </w:pPr>
      <w:r w:rsidRPr="00F630D5">
        <w:t xml:space="preserve">-  Ieņēmumi par Sociālas aprūpes pakalpojuma sniegšanu </w:t>
      </w:r>
      <w:r w:rsidRPr="00F630D5">
        <w:rPr>
          <w:lang w:val="en-AU"/>
        </w:rPr>
        <w:t>2022. gada otrajā ceturksnī sastāda 49 247,30 EIRO, kas par 6 053,43 EIRO, jeb 14,01 % vairāk salīdzinājumā ar attiecīgo periodu 2021. gadā. Tas saistīts ar to, ka ar š.g. 01. martu tika palielināta pakalpojuma cena.</w:t>
      </w:r>
    </w:p>
    <w:p w14:paraId="52CB89C8" w14:textId="3314993D" w:rsidR="00F630D5" w:rsidRPr="00F630D5" w:rsidRDefault="00F630D5" w:rsidP="00F630D5">
      <w:pPr>
        <w:pStyle w:val="Galvene"/>
        <w:jc w:val="both"/>
      </w:pPr>
      <w:r w:rsidRPr="00F630D5">
        <w:t>-  Ieņēmumi par maksas pakalpojuma sniegšanu zobārstniecības kabinetā sastāda 22901  EIRO, kas par 5072 EIRO, jeb 28.44 % vairāk salīdzinājumā ar attiecīgo periodu 2021. gadā.</w:t>
      </w:r>
    </w:p>
    <w:p w14:paraId="0F99CBEC" w14:textId="37890A16" w:rsidR="00F630D5" w:rsidRDefault="00F630D5" w:rsidP="00F630D5">
      <w:pPr>
        <w:pStyle w:val="Galvene"/>
        <w:jc w:val="both"/>
      </w:pPr>
      <w:r w:rsidRPr="00F630D5">
        <w:t>-  Ieņēmumi par telpu nomu sastāda 14604 EIRO, kas par 3909 EIRO, jeb 36.55 % vairāk  salīdzinājumā ar attiecīgo periodu 2021. gadā.</w:t>
      </w:r>
    </w:p>
    <w:p w14:paraId="1A30DD8D" w14:textId="675EE8D8" w:rsidR="00F630D5" w:rsidRPr="00F61834" w:rsidRDefault="00F630D5" w:rsidP="00F630D5">
      <w:pPr>
        <w:pStyle w:val="Galvene"/>
        <w:jc w:val="both"/>
      </w:pPr>
      <w:r w:rsidRPr="00F61834">
        <w:t xml:space="preserve">-  Ieņēmumi par medicīniska transporta izmantošanu sastāda </w:t>
      </w:r>
      <w:r w:rsidR="00F61834" w:rsidRPr="00F61834">
        <w:t>911</w:t>
      </w:r>
      <w:r w:rsidRPr="00F61834">
        <w:t xml:space="preserve"> EIRO, kas par</w:t>
      </w:r>
      <w:r w:rsidR="00F61834" w:rsidRPr="00F61834">
        <w:t>186</w:t>
      </w:r>
      <w:r w:rsidRPr="00F61834">
        <w:t xml:space="preserve"> EIRO, jeb </w:t>
      </w:r>
      <w:r w:rsidR="00F61834" w:rsidRPr="00F61834">
        <w:t>16.96</w:t>
      </w:r>
      <w:r w:rsidRPr="00F61834">
        <w:t xml:space="preserve"> %  mazāk salīdzinājumā ar attiecīgo periodu 2021. gadā.</w:t>
      </w:r>
    </w:p>
    <w:p w14:paraId="2FB15163" w14:textId="74BE62AA" w:rsidR="00F630D5" w:rsidRDefault="00F630D5" w:rsidP="00F630D5">
      <w:pPr>
        <w:pStyle w:val="Galvene"/>
        <w:tabs>
          <w:tab w:val="clear" w:pos="4513"/>
          <w:tab w:val="center" w:pos="4537"/>
        </w:tabs>
        <w:jc w:val="both"/>
      </w:pPr>
      <w:r w:rsidRPr="00F61834">
        <w:t xml:space="preserve">Lielāko izmaksu pieaugumu </w:t>
      </w:r>
      <w:r w:rsidR="00F61834" w:rsidRPr="00F61834">
        <w:t>69189</w:t>
      </w:r>
      <w:r w:rsidRPr="00F61834">
        <w:t xml:space="preserve"> EIRO, jeb </w:t>
      </w:r>
      <w:r w:rsidR="00F61834" w:rsidRPr="00F61834">
        <w:t>9.2</w:t>
      </w:r>
      <w:r w:rsidRPr="00F61834">
        <w:t xml:space="preserve"> % veido darba samaksas un VSAOI pieaugums</w:t>
      </w:r>
      <w:r w:rsidR="00F61834" w:rsidRPr="00F61834">
        <w:t>.</w:t>
      </w:r>
      <w:r w:rsidRPr="00F61834">
        <w:t xml:space="preserve"> Darba samaksa kopā ar VSAOI pamatdarbības izdevumu struktūrā sastāda </w:t>
      </w:r>
      <w:r w:rsidR="00F61834" w:rsidRPr="00F61834">
        <w:t>68.06</w:t>
      </w:r>
      <w:r w:rsidRPr="00F61834">
        <w:t xml:space="preserve"> %.</w:t>
      </w:r>
    </w:p>
    <w:p w14:paraId="5693A68A" w14:textId="6EC91A67" w:rsidR="00F630D5" w:rsidRDefault="00F630D5" w:rsidP="00F630D5">
      <w:pPr>
        <w:pStyle w:val="Galvene"/>
        <w:tabs>
          <w:tab w:val="clear" w:pos="4513"/>
          <w:tab w:val="center" w:pos="4537"/>
        </w:tabs>
        <w:jc w:val="both"/>
      </w:pPr>
      <w:r>
        <w:t xml:space="preserve">Lai nodrošinātu nepārtrauktas dežūras uzņemšanas nodaļā un stacionāra nodaļā visas virsstundas tiek apmaksātas 100 % apmērā no tarificētas darba algas apmēra. 2022. II. ceturksnī darbiniekiem, kas bija iesaistīti Covid-19 jautājumu risināšanā un seku novēršanā, tiek maksāta ar Veselības Ministrijas rīkojumu noteiktā piemaksa, un, tā sastāda  </w:t>
      </w:r>
      <w:r w:rsidRPr="008F3D9E">
        <w:rPr>
          <w:lang w:val="en-AU"/>
        </w:rPr>
        <w:t>7</w:t>
      </w:r>
      <w:r>
        <w:rPr>
          <w:lang w:val="en-AU"/>
        </w:rPr>
        <w:t>6</w:t>
      </w:r>
      <w:r w:rsidRPr="00192BAA">
        <w:rPr>
          <w:lang w:val="en-AU"/>
        </w:rPr>
        <w:t> </w:t>
      </w:r>
      <w:r>
        <w:rPr>
          <w:lang w:val="en-AU"/>
        </w:rPr>
        <w:t>202</w:t>
      </w:r>
      <w:r w:rsidRPr="00192BAA">
        <w:rPr>
          <w:lang w:val="en-AU"/>
        </w:rPr>
        <w:t>,</w:t>
      </w:r>
      <w:r>
        <w:rPr>
          <w:lang w:val="en-AU"/>
        </w:rPr>
        <w:t>18</w:t>
      </w:r>
      <w:r w:rsidRPr="008F3D9E">
        <w:rPr>
          <w:lang w:val="en-AU"/>
        </w:rPr>
        <w:t xml:space="preserve"> EIRO (ieskaitot VSAOI) apmērā, kas ir par</w:t>
      </w:r>
      <w:r w:rsidRPr="00192BAA">
        <w:rPr>
          <w:lang w:val="en-AU"/>
        </w:rPr>
        <w:t xml:space="preserve"> </w:t>
      </w:r>
      <w:r>
        <w:rPr>
          <w:lang w:val="en-AU"/>
        </w:rPr>
        <w:t>82</w:t>
      </w:r>
      <w:r w:rsidRPr="00192BAA">
        <w:rPr>
          <w:lang w:val="en-AU"/>
        </w:rPr>
        <w:t> </w:t>
      </w:r>
      <w:r>
        <w:rPr>
          <w:lang w:val="en-AU"/>
        </w:rPr>
        <w:t>625</w:t>
      </w:r>
      <w:r w:rsidRPr="00192BAA">
        <w:rPr>
          <w:lang w:val="en-AU"/>
        </w:rPr>
        <w:t>,</w:t>
      </w:r>
      <w:r>
        <w:rPr>
          <w:lang w:val="en-AU"/>
        </w:rPr>
        <w:t>3</w:t>
      </w:r>
      <w:r w:rsidRPr="00192BAA">
        <w:rPr>
          <w:lang w:val="en-AU"/>
        </w:rPr>
        <w:t>2 EIRO, jeb</w:t>
      </w:r>
      <w:r w:rsidRPr="008F3D9E">
        <w:rPr>
          <w:lang w:val="en-AU"/>
        </w:rPr>
        <w:t xml:space="preserve"> </w:t>
      </w:r>
      <w:r>
        <w:rPr>
          <w:lang w:val="en-AU"/>
        </w:rPr>
        <w:t>52</w:t>
      </w:r>
      <w:r w:rsidRPr="008F3D9E">
        <w:rPr>
          <w:lang w:val="en-AU"/>
        </w:rPr>
        <w:t>,</w:t>
      </w:r>
      <w:r>
        <w:rPr>
          <w:lang w:val="en-AU"/>
        </w:rPr>
        <w:t>02</w:t>
      </w:r>
      <w:r w:rsidRPr="008F3D9E">
        <w:rPr>
          <w:lang w:val="en-AU"/>
        </w:rPr>
        <w:t xml:space="preserve"> % </w:t>
      </w:r>
      <w:r>
        <w:rPr>
          <w:lang w:val="en-AU"/>
        </w:rPr>
        <w:t>maz</w:t>
      </w:r>
      <w:r w:rsidRPr="008F3D9E">
        <w:rPr>
          <w:lang w:val="en-AU"/>
        </w:rPr>
        <w:t xml:space="preserve">āk kā 2021. gada </w:t>
      </w:r>
      <w:r>
        <w:rPr>
          <w:lang w:val="en-AU"/>
        </w:rPr>
        <w:t>otr</w:t>
      </w:r>
      <w:r w:rsidRPr="008F3D9E">
        <w:rPr>
          <w:lang w:val="en-AU"/>
        </w:rPr>
        <w:t>ajā ceturksnī.</w:t>
      </w:r>
      <w:r>
        <w:t xml:space="preserve"> Tas saistīts ar to, ka piemaksas apmērs 2022. gadā otrajā ceturksnī samazināta pa 50 %. Šos izdevumus sedz NVD kā papildus finansējum</w:t>
      </w:r>
      <w:r w:rsidR="000F24EB">
        <w:t>u</w:t>
      </w:r>
      <w:r w:rsidR="000F24EB" w:rsidRPr="000F24EB">
        <w:t>, k</w:t>
      </w:r>
      <w:r w:rsidR="000F24EB" w:rsidRPr="000F24EB">
        <w:rPr>
          <w:lang w:val="en-AU"/>
        </w:rPr>
        <w:t>ā</w:t>
      </w:r>
      <w:r w:rsidRPr="000F24EB">
        <w:rPr>
          <w:lang w:val="en-AU"/>
        </w:rPr>
        <w:t xml:space="preserve"> arī piešķirts papildus finansējums </w:t>
      </w:r>
      <w:r w:rsidR="000F24EB" w:rsidRPr="000F24EB">
        <w:rPr>
          <w:lang w:val="en-AU"/>
        </w:rPr>
        <w:t xml:space="preserve"> 7835</w:t>
      </w:r>
      <w:r w:rsidRPr="000F24EB">
        <w:rPr>
          <w:lang w:val="en-AU"/>
        </w:rPr>
        <w:t xml:space="preserve"> EUR apmērā darbinieku atvaļinājuma rezervei.</w:t>
      </w:r>
    </w:p>
    <w:p w14:paraId="4552E9B9" w14:textId="3406C1C7" w:rsidR="00F630D5" w:rsidRDefault="00F630D5" w:rsidP="00F630D5">
      <w:pPr>
        <w:pStyle w:val="Galvene"/>
        <w:tabs>
          <w:tab w:val="clear" w:pos="4513"/>
          <w:tab w:val="center" w:pos="4537"/>
        </w:tabs>
        <w:jc w:val="both"/>
      </w:pPr>
      <w:r w:rsidRPr="005B23AD">
        <w:t>2022. gada pārskata periodā salīdzinot ar 2021. gada pārskata periodu ir palielinājušās NVD noteiktās manipulāciju un epizožu vērtības, kam proporcionāli palielinās darba samaksa par sniegtajiem ambulatorajiem medicīnas pakalpojumiem.</w:t>
      </w:r>
    </w:p>
    <w:p w14:paraId="7C6DD6FD" w14:textId="6FAB4EFC" w:rsidR="00F630D5" w:rsidRPr="00D76143" w:rsidRDefault="00F630D5" w:rsidP="00F630D5">
      <w:pPr>
        <w:pStyle w:val="Galvene"/>
        <w:tabs>
          <w:tab w:val="clear" w:pos="4513"/>
          <w:tab w:val="center" w:pos="4537"/>
        </w:tabs>
        <w:jc w:val="both"/>
      </w:pPr>
      <w:r w:rsidRPr="00D76143">
        <w:t xml:space="preserve">2022. gada otrajā ceturksnī visas pārējās izmaksās, kuras saistītas ar ārstniecības pakalpojumu nodrošinājumu </w:t>
      </w:r>
      <w:bookmarkStart w:id="340" w:name="_Hlk117612114"/>
      <w:r w:rsidRPr="00D76143">
        <w:t>ir palielinājušas</w:t>
      </w:r>
      <w:bookmarkEnd w:id="340"/>
      <w:r w:rsidR="00E00192" w:rsidRPr="00D76143">
        <w:t>.</w:t>
      </w:r>
    </w:p>
    <w:p w14:paraId="7FB7E492" w14:textId="1D123565" w:rsidR="00F630D5" w:rsidRPr="00D76143" w:rsidRDefault="00F630D5" w:rsidP="00D76143">
      <w:pPr>
        <w:pStyle w:val="Galvene"/>
        <w:tabs>
          <w:tab w:val="clear" w:pos="4513"/>
          <w:tab w:val="center" w:pos="4537"/>
        </w:tabs>
        <w:ind w:left="567" w:hanging="141"/>
        <w:jc w:val="both"/>
      </w:pPr>
      <w:r w:rsidRPr="00D76143">
        <w:t>- Par 1 733,46 EIRO, jeb 15,58 %  pateicoties Valsts atbalstam, kas tika piešķirts līdz š.g. 01. maij</w:t>
      </w:r>
      <w:r w:rsidR="00E00192" w:rsidRPr="00D76143">
        <w:t>a</w:t>
      </w:r>
      <w:r w:rsidRPr="00D76143">
        <w:t xml:space="preserve">m, </w:t>
      </w:r>
      <w:r w:rsidRPr="00D76143">
        <w:rPr>
          <w:lang w:val="en-AU"/>
        </w:rPr>
        <w:t>samazinātas elektroenerģijas</w:t>
      </w:r>
      <w:r w:rsidRPr="00D76143">
        <w:t xml:space="preserve"> izmaksas, perioda beigās sastādot  9 393,75 EIRO un kopējā izdevumu struktūra </w:t>
      </w:r>
      <w:r w:rsidR="00D76143" w:rsidRPr="00D76143">
        <w:t>0.8</w:t>
      </w:r>
      <w:r w:rsidRPr="00D76143">
        <w:t xml:space="preserve"> %.</w:t>
      </w:r>
    </w:p>
    <w:p w14:paraId="4CC8ACED" w14:textId="4DA93CD2" w:rsidR="00F630D5" w:rsidRPr="00D76143" w:rsidRDefault="00F630D5" w:rsidP="00F630D5">
      <w:pPr>
        <w:pStyle w:val="Galvene"/>
        <w:ind w:left="567" w:hanging="141"/>
        <w:jc w:val="both"/>
      </w:pPr>
      <w:r w:rsidRPr="00D76143">
        <w:t xml:space="preserve">- Par 128,80 EIRO, jeb 1,64 % samazinājās siltumenerģijas izmaksas, un, perioda beigās sastāda  7713,84  EIRO un kopējā izdevumu struktūrā </w:t>
      </w:r>
      <w:r w:rsidR="00D76143" w:rsidRPr="00D76143">
        <w:t>0.6</w:t>
      </w:r>
      <w:r w:rsidRPr="00D76143">
        <w:t xml:space="preserve"> %.</w:t>
      </w:r>
    </w:p>
    <w:p w14:paraId="37E2F498" w14:textId="0F776BAD" w:rsidR="002A0A40" w:rsidRDefault="00F630D5" w:rsidP="00FE17A0">
      <w:pPr>
        <w:pStyle w:val="Galvene"/>
        <w:ind w:left="567" w:hanging="141"/>
        <w:jc w:val="both"/>
        <w:rPr>
          <w:rFonts w:cs="Tahoma"/>
          <w:b/>
          <w:szCs w:val="18"/>
        </w:rPr>
      </w:pPr>
      <w:r w:rsidRPr="00D76143">
        <w:rPr>
          <w:lang w:val="en-AU"/>
        </w:rPr>
        <w:t xml:space="preserve">- </w:t>
      </w:r>
      <w:r w:rsidRPr="00D76143">
        <w:t xml:space="preserve">Pamatlīdzekļu nolietojuma summa palielinājas / samazinājusies par </w:t>
      </w:r>
      <w:r w:rsidR="00D76143" w:rsidRPr="00D76143">
        <w:t xml:space="preserve">2349 </w:t>
      </w:r>
      <w:r w:rsidRPr="00D76143">
        <w:t xml:space="preserve"> EIRO, jeb</w:t>
      </w:r>
      <w:r w:rsidR="00D76143" w:rsidRPr="00D76143">
        <w:t>4.9</w:t>
      </w:r>
      <w:r w:rsidRPr="00D76143">
        <w:t xml:space="preserve"> %, perioda beigās sastādot </w:t>
      </w:r>
      <w:r w:rsidR="00D76143" w:rsidRPr="00D76143">
        <w:t>50671</w:t>
      </w:r>
      <w:r w:rsidRPr="00D76143">
        <w:t xml:space="preserve"> EIRO un kopējā izdevumu struktūrā </w:t>
      </w:r>
      <w:r w:rsidR="00D76143" w:rsidRPr="00D76143">
        <w:t>4.2</w:t>
      </w:r>
      <w:r w:rsidRPr="00D76143">
        <w:t xml:space="preserve"> %.</w:t>
      </w:r>
    </w:p>
    <w:p w14:paraId="420B087A" w14:textId="77777777" w:rsidR="00D32BDF" w:rsidRPr="0018759B" w:rsidRDefault="00D32BDF" w:rsidP="00D32BDF">
      <w:pPr>
        <w:spacing w:before="120" w:after="120"/>
        <w:jc w:val="both"/>
        <w:rPr>
          <w:rFonts w:cs="Tahoma"/>
          <w:b/>
          <w:szCs w:val="18"/>
        </w:rPr>
      </w:pPr>
      <w:r w:rsidRPr="0018759B">
        <w:rPr>
          <w:rFonts w:cs="Tahoma"/>
          <w:b/>
          <w:szCs w:val="18"/>
        </w:rPr>
        <w:t>Sabiedrības darbības finansiālie rezultāti un finansiālais stāvoklis</w:t>
      </w:r>
    </w:p>
    <w:p w14:paraId="3C50FB53" w14:textId="77777777" w:rsidR="00D32BDF" w:rsidRPr="0018759B" w:rsidRDefault="00D32BDF" w:rsidP="00D32BDF">
      <w:pPr>
        <w:spacing w:before="120" w:after="120"/>
        <w:jc w:val="both"/>
        <w:rPr>
          <w:rFonts w:cs="Tahoma"/>
          <w:szCs w:val="18"/>
        </w:rPr>
      </w:pPr>
      <w:r w:rsidRPr="0018759B">
        <w:rPr>
          <w:rFonts w:cs="Tahoma"/>
          <w:szCs w:val="18"/>
        </w:rPr>
        <w:t>Finansiālo rezultātu rādītāji:</w:t>
      </w:r>
    </w:p>
    <w:p w14:paraId="09C6722D" w14:textId="77777777" w:rsidR="005E4713" w:rsidRPr="0018759B" w:rsidRDefault="005E4713" w:rsidP="00D32BDF">
      <w:pPr>
        <w:spacing w:before="120" w:after="120"/>
        <w:jc w:val="both"/>
        <w:rPr>
          <w:rFonts w:cs="Tahoma"/>
          <w:szCs w:val="18"/>
        </w:rPr>
      </w:pPr>
      <w:r w:rsidRPr="0018759B">
        <w:rPr>
          <w:rFonts w:cs="Tahoma"/>
          <w:szCs w:val="18"/>
        </w:rPr>
        <w:t>Veicot finansiālo rezultātu aprēķinu īstermiņa</w:t>
      </w:r>
      <w:r w:rsidR="00700C09" w:rsidRPr="0018759B">
        <w:rPr>
          <w:rFonts w:cs="Tahoma"/>
          <w:szCs w:val="18"/>
        </w:rPr>
        <w:t xml:space="preserve"> un ilgtermiņa</w:t>
      </w:r>
      <w:r w:rsidRPr="0018759B">
        <w:rPr>
          <w:rFonts w:cs="Tahoma"/>
          <w:szCs w:val="18"/>
        </w:rPr>
        <w:t xml:space="preserve"> saistībās netiek iekļauti nākamo periodu ieņēmumi.</w:t>
      </w:r>
    </w:p>
    <w:p w14:paraId="1D16E5B7" w14:textId="77777777" w:rsidR="00D32BDF" w:rsidRPr="0018759B" w:rsidRDefault="00D32BDF" w:rsidP="00D32BDF">
      <w:pPr>
        <w:spacing w:before="120" w:after="120"/>
        <w:jc w:val="both"/>
        <w:rPr>
          <w:rFonts w:cs="Tahoma"/>
          <w:b/>
          <w:szCs w:val="18"/>
        </w:rPr>
      </w:pPr>
      <w:r w:rsidRPr="0018759B">
        <w:rPr>
          <w:rFonts w:cs="Tahoma"/>
          <w:b/>
          <w:szCs w:val="18"/>
        </w:rPr>
        <w:t>Likviditāte (maksātspēja, t.i., spēja laikus un pilnīgi dzēst savas īstermiņa saistības):</w:t>
      </w:r>
    </w:p>
    <w:tbl>
      <w:tblPr>
        <w:tblW w:w="0" w:type="auto"/>
        <w:tblLook w:val="04A0" w:firstRow="1" w:lastRow="0" w:firstColumn="1" w:lastColumn="0" w:noHBand="0" w:noVBand="1"/>
      </w:tblPr>
      <w:tblGrid>
        <w:gridCol w:w="2282"/>
        <w:gridCol w:w="4504"/>
        <w:gridCol w:w="2240"/>
      </w:tblGrid>
      <w:tr w:rsidR="0018759B" w:rsidRPr="0018759B" w14:paraId="64FC043D" w14:textId="77777777" w:rsidTr="00544E6F">
        <w:tc>
          <w:tcPr>
            <w:tcW w:w="2415" w:type="dxa"/>
            <w:tcBorders>
              <w:bottom w:val="single" w:sz="4" w:space="0" w:color="auto"/>
            </w:tcBorders>
            <w:shd w:val="clear" w:color="auto" w:fill="auto"/>
          </w:tcPr>
          <w:p w14:paraId="12776E42" w14:textId="77777777" w:rsidR="00D32BDF" w:rsidRPr="0018759B" w:rsidRDefault="00D32BDF" w:rsidP="0091705E">
            <w:pPr>
              <w:spacing w:before="120" w:after="120"/>
              <w:rPr>
                <w:rFonts w:cs="Tahoma"/>
                <w:szCs w:val="18"/>
              </w:rPr>
            </w:pPr>
            <w:r w:rsidRPr="0018759B">
              <w:rPr>
                <w:rFonts w:cs="Tahoma"/>
                <w:szCs w:val="18"/>
              </w:rPr>
              <w:t>Likviditātes kopējais koeficients</w:t>
            </w:r>
          </w:p>
        </w:tc>
        <w:tc>
          <w:tcPr>
            <w:tcW w:w="4446" w:type="dxa"/>
            <w:tcBorders>
              <w:bottom w:val="single" w:sz="4" w:space="0" w:color="auto"/>
            </w:tcBorders>
            <w:shd w:val="clear" w:color="auto" w:fill="auto"/>
          </w:tcPr>
          <w:p w14:paraId="0ACD861D" w14:textId="5777AA0B" w:rsidR="00D32BDF" w:rsidRPr="00544870" w:rsidRDefault="00000000" w:rsidP="007D68F7">
            <w:pPr>
              <w:jc w:val="center"/>
              <w:rPr>
                <w:rFonts w:cs="Tahoma"/>
                <w:szCs w:val="18"/>
              </w:rPr>
            </w:pPr>
            <m:oMathPara>
              <m:oMath>
                <m:f>
                  <m:fPr>
                    <m:ctrlPr>
                      <w:rPr>
                        <w:rFonts w:ascii="Cambria Math" w:hAnsi="Cambria Math" w:cs="Tahoma"/>
                        <w:szCs w:val="18"/>
                      </w:rPr>
                    </m:ctrlPr>
                  </m:fPr>
                  <m:num>
                    <m:r>
                      <m:rPr>
                        <m:sty m:val="p"/>
                      </m:rPr>
                      <w:rPr>
                        <w:rFonts w:ascii="Cambria Math" w:hAnsi="Cambria Math" w:cs="Tahoma"/>
                        <w:szCs w:val="18"/>
                      </w:rPr>
                      <m:t xml:space="preserve">Apgrozāmie līdzekļi </m:t>
                    </m:r>
                  </m:num>
                  <m:den>
                    <m:r>
                      <m:rPr>
                        <m:sty m:val="p"/>
                      </m:rPr>
                      <w:rPr>
                        <w:rFonts w:ascii="Cambria Math" w:hAnsi="Cambria Math" w:cs="Tahoma"/>
                        <w:szCs w:val="18"/>
                      </w:rPr>
                      <m:t xml:space="preserve">Īstermiņa saistības-nākamo periodu ieņēmumi  </m:t>
                    </m:r>
                  </m:den>
                </m:f>
                <m:r>
                  <w:rPr>
                    <w:rFonts w:ascii="Cambria Math" w:hAnsi="Cambria Math" w:cs="Tahoma"/>
                    <w:szCs w:val="18"/>
                  </w:rPr>
                  <m:t>1.39</m:t>
                </m:r>
              </m:oMath>
            </m:oMathPara>
          </w:p>
          <w:p w14:paraId="099EB97D" w14:textId="77777777" w:rsidR="007D68F7" w:rsidRPr="00544870" w:rsidRDefault="007D68F7" w:rsidP="00D024DB">
            <w:pPr>
              <w:jc w:val="center"/>
              <w:rPr>
                <w:rFonts w:cs="Tahoma"/>
                <w:b/>
                <w:szCs w:val="18"/>
              </w:rPr>
            </w:pPr>
          </w:p>
        </w:tc>
        <w:tc>
          <w:tcPr>
            <w:tcW w:w="2381" w:type="dxa"/>
            <w:shd w:val="clear" w:color="auto" w:fill="auto"/>
          </w:tcPr>
          <w:p w14:paraId="293EB7AB" w14:textId="77777777" w:rsidR="00D32BDF" w:rsidRPr="0018759B" w:rsidRDefault="00D32BDF" w:rsidP="0091705E">
            <w:pPr>
              <w:spacing w:before="120" w:after="120"/>
              <w:rPr>
                <w:rFonts w:cs="Tahoma"/>
                <w:szCs w:val="18"/>
              </w:rPr>
            </w:pPr>
            <w:r w:rsidRPr="0018759B">
              <w:rPr>
                <w:rFonts w:cs="Tahoma"/>
                <w:szCs w:val="18"/>
              </w:rPr>
              <w:t>(koeficienta ieteicam</w:t>
            </w:r>
            <w:r w:rsidR="0072437E" w:rsidRPr="0018759B">
              <w:rPr>
                <w:rFonts w:cs="Tahoma"/>
                <w:szCs w:val="18"/>
              </w:rPr>
              <w:t>ā</w:t>
            </w:r>
            <w:r w:rsidRPr="0018759B">
              <w:rPr>
                <w:rFonts w:cs="Tahoma"/>
                <w:szCs w:val="18"/>
              </w:rPr>
              <w:t xml:space="preserve"> robeža 1-2).</w:t>
            </w:r>
          </w:p>
          <w:p w14:paraId="6618EAFE" w14:textId="77777777" w:rsidR="007D68F7" w:rsidRPr="0018759B" w:rsidRDefault="007D68F7" w:rsidP="0091705E">
            <w:pPr>
              <w:spacing w:before="120" w:after="120"/>
              <w:rPr>
                <w:rFonts w:cs="Tahoma"/>
                <w:szCs w:val="18"/>
              </w:rPr>
            </w:pPr>
          </w:p>
        </w:tc>
      </w:tr>
      <w:tr w:rsidR="0018759B" w:rsidRPr="0018759B" w14:paraId="4F6F58D0" w14:textId="77777777" w:rsidTr="00544E6F">
        <w:tc>
          <w:tcPr>
            <w:tcW w:w="2415" w:type="dxa"/>
            <w:tcBorders>
              <w:top w:val="single" w:sz="4" w:space="0" w:color="auto"/>
              <w:bottom w:val="single" w:sz="4" w:space="0" w:color="auto"/>
            </w:tcBorders>
            <w:shd w:val="clear" w:color="auto" w:fill="auto"/>
          </w:tcPr>
          <w:p w14:paraId="333B7C91" w14:textId="77777777" w:rsidR="00D32BDF" w:rsidRPr="0018759B" w:rsidRDefault="00D32BDF" w:rsidP="0091705E">
            <w:pPr>
              <w:spacing w:before="120" w:after="120"/>
              <w:rPr>
                <w:rFonts w:cs="Tahoma"/>
                <w:szCs w:val="18"/>
              </w:rPr>
            </w:pPr>
            <w:r w:rsidRPr="0018759B">
              <w:rPr>
                <w:rFonts w:cs="Tahoma"/>
                <w:szCs w:val="18"/>
              </w:rPr>
              <w:lastRenderedPageBreak/>
              <w:t>Likviditātes starpseguma koeficients</w:t>
            </w:r>
          </w:p>
        </w:tc>
        <w:tc>
          <w:tcPr>
            <w:tcW w:w="4446" w:type="dxa"/>
            <w:tcBorders>
              <w:top w:val="single" w:sz="4" w:space="0" w:color="auto"/>
              <w:bottom w:val="single" w:sz="4" w:space="0" w:color="auto"/>
            </w:tcBorders>
            <w:shd w:val="clear" w:color="auto" w:fill="auto"/>
            <w:vAlign w:val="center"/>
          </w:tcPr>
          <w:p w14:paraId="0C268971" w14:textId="7592D471" w:rsidR="00D32BDF" w:rsidRPr="00544870" w:rsidRDefault="00000000" w:rsidP="007D68F7">
            <w:pPr>
              <w:rPr>
                <w:rFonts w:cs="Tahoma"/>
                <w:szCs w:val="18"/>
              </w:rPr>
            </w:pPr>
            <m:oMathPara>
              <m:oMath>
                <m:f>
                  <m:fPr>
                    <m:ctrlPr>
                      <w:rPr>
                        <w:rFonts w:ascii="Cambria Math" w:hAnsi="Cambria Math" w:cs="Tahoma"/>
                        <w:szCs w:val="18"/>
                      </w:rPr>
                    </m:ctrlPr>
                  </m:fPr>
                  <m:num>
                    <m:r>
                      <m:rPr>
                        <m:sty m:val="p"/>
                      </m:rPr>
                      <w:rPr>
                        <w:rFonts w:ascii="Cambria Math" w:hAnsi="Cambria Math" w:cs="Tahoma"/>
                        <w:szCs w:val="18"/>
                      </w:rPr>
                      <m:t xml:space="preserve">Naudas līdzekļi+Īstermiņa vērtspapīri+Debitori </m:t>
                    </m:r>
                  </m:num>
                  <m:den>
                    <m:r>
                      <m:rPr>
                        <m:sty m:val="p"/>
                      </m:rPr>
                      <w:rPr>
                        <w:rFonts w:ascii="Cambria Math" w:hAnsi="Cambria Math" w:cs="Tahoma"/>
                        <w:szCs w:val="18"/>
                      </w:rPr>
                      <m:t xml:space="preserve">Īstermiņa saistības-nākamo periodu ieņēmumi </m:t>
                    </m:r>
                  </m:den>
                </m:f>
                <m:r>
                  <w:rPr>
                    <w:rFonts w:ascii="Cambria Math" w:hAnsi="Cambria Math" w:cs="Tahoma"/>
                    <w:szCs w:val="18"/>
                  </w:rPr>
                  <m:t>1.17</m:t>
                </m:r>
              </m:oMath>
            </m:oMathPara>
          </w:p>
          <w:p w14:paraId="3D736175" w14:textId="77777777" w:rsidR="007D68F7" w:rsidRPr="00544870" w:rsidRDefault="007D68F7" w:rsidP="00D024DB">
            <w:pPr>
              <w:jc w:val="center"/>
              <w:rPr>
                <w:rFonts w:cs="Tahoma"/>
                <w:b/>
                <w:szCs w:val="18"/>
              </w:rPr>
            </w:pPr>
          </w:p>
        </w:tc>
        <w:tc>
          <w:tcPr>
            <w:tcW w:w="2381" w:type="dxa"/>
            <w:shd w:val="clear" w:color="auto" w:fill="auto"/>
          </w:tcPr>
          <w:p w14:paraId="0E6EA232" w14:textId="77777777" w:rsidR="00D32BDF" w:rsidRPr="0018759B" w:rsidRDefault="00D32BDF" w:rsidP="0091705E">
            <w:pPr>
              <w:spacing w:before="120" w:after="120"/>
              <w:rPr>
                <w:rFonts w:cs="Tahoma"/>
                <w:szCs w:val="18"/>
              </w:rPr>
            </w:pPr>
            <w:r w:rsidRPr="0018759B">
              <w:rPr>
                <w:rFonts w:cs="Tahoma"/>
                <w:szCs w:val="18"/>
              </w:rPr>
              <w:t>(koeficienta ieteicam</w:t>
            </w:r>
            <w:r w:rsidR="0072437E" w:rsidRPr="0018759B">
              <w:rPr>
                <w:rFonts w:cs="Tahoma"/>
                <w:szCs w:val="18"/>
              </w:rPr>
              <w:t>ā</w:t>
            </w:r>
            <w:r w:rsidRPr="0018759B">
              <w:rPr>
                <w:rFonts w:cs="Tahoma"/>
                <w:szCs w:val="18"/>
              </w:rPr>
              <w:t xml:space="preserve"> robeža 0.7-0.8).</w:t>
            </w:r>
          </w:p>
          <w:p w14:paraId="4550FFBA" w14:textId="77777777" w:rsidR="007D68F7" w:rsidRPr="0018759B" w:rsidRDefault="007D68F7" w:rsidP="0091705E">
            <w:pPr>
              <w:spacing w:before="120" w:after="120"/>
              <w:rPr>
                <w:rFonts w:cs="Tahoma"/>
                <w:szCs w:val="18"/>
              </w:rPr>
            </w:pPr>
          </w:p>
        </w:tc>
      </w:tr>
      <w:tr w:rsidR="0018759B" w:rsidRPr="0018759B" w14:paraId="02C97C99" w14:textId="77777777" w:rsidTr="00544E6F">
        <w:trPr>
          <w:trHeight w:val="794"/>
        </w:trPr>
        <w:tc>
          <w:tcPr>
            <w:tcW w:w="2415" w:type="dxa"/>
            <w:tcBorders>
              <w:top w:val="single" w:sz="4" w:space="0" w:color="auto"/>
              <w:bottom w:val="single" w:sz="4" w:space="0" w:color="auto"/>
            </w:tcBorders>
            <w:shd w:val="clear" w:color="auto" w:fill="auto"/>
          </w:tcPr>
          <w:p w14:paraId="7DAF0005" w14:textId="77777777" w:rsidR="00D32BDF" w:rsidRPr="0018759B" w:rsidRDefault="00D32BDF" w:rsidP="0091705E">
            <w:pPr>
              <w:spacing w:before="120" w:after="120"/>
              <w:rPr>
                <w:rFonts w:cs="Tahoma"/>
                <w:szCs w:val="18"/>
              </w:rPr>
            </w:pPr>
            <w:r w:rsidRPr="0018759B">
              <w:rPr>
                <w:rFonts w:cs="Tahoma"/>
                <w:szCs w:val="18"/>
              </w:rPr>
              <w:t>Absolūtās likviditātes koeficients</w:t>
            </w:r>
          </w:p>
        </w:tc>
        <w:tc>
          <w:tcPr>
            <w:tcW w:w="4446" w:type="dxa"/>
            <w:tcBorders>
              <w:top w:val="single" w:sz="4" w:space="0" w:color="auto"/>
              <w:bottom w:val="single" w:sz="4" w:space="0" w:color="auto"/>
            </w:tcBorders>
            <w:shd w:val="clear" w:color="auto" w:fill="auto"/>
          </w:tcPr>
          <w:p w14:paraId="3DA0C590" w14:textId="76045633" w:rsidR="00D32BDF" w:rsidRPr="00544870" w:rsidRDefault="00000000" w:rsidP="00AF4EDC">
            <w:pPr>
              <w:jc w:val="center"/>
              <w:rPr>
                <w:rFonts w:cs="Tahoma"/>
                <w:szCs w:val="18"/>
              </w:rPr>
            </w:pPr>
            <m:oMathPara>
              <m:oMath>
                <m:f>
                  <m:fPr>
                    <m:ctrlPr>
                      <w:rPr>
                        <w:rFonts w:ascii="Cambria Math" w:hAnsi="Cambria Math" w:cs="Tahoma"/>
                        <w:szCs w:val="18"/>
                      </w:rPr>
                    </m:ctrlPr>
                  </m:fPr>
                  <m:num>
                    <m:r>
                      <m:rPr>
                        <m:sty m:val="p"/>
                      </m:rPr>
                      <w:rPr>
                        <w:rFonts w:ascii="Cambria Math" w:hAnsi="Cambria Math" w:cs="Tahoma"/>
                        <w:szCs w:val="18"/>
                      </w:rPr>
                      <m:t>Naudas līdzekļi+Īstermiņa vērtspapīri</m:t>
                    </m:r>
                  </m:num>
                  <m:den>
                    <m:r>
                      <m:rPr>
                        <m:sty m:val="p"/>
                      </m:rPr>
                      <w:rPr>
                        <w:rFonts w:ascii="Cambria Math" w:hAnsi="Cambria Math" w:cs="Tahoma"/>
                        <w:szCs w:val="18"/>
                      </w:rPr>
                      <m:t>Īstermiņa saistības-nākamo periodu ieņēmumi</m:t>
                    </m:r>
                  </m:den>
                </m:f>
                <m:r>
                  <w:rPr>
                    <w:rFonts w:ascii="Cambria Math" w:hAnsi="Cambria Math" w:cs="Tahoma"/>
                    <w:szCs w:val="18"/>
                  </w:rPr>
                  <m:t>0.73</m:t>
                </m:r>
              </m:oMath>
            </m:oMathPara>
          </w:p>
          <w:p w14:paraId="5BC807FE" w14:textId="77777777" w:rsidR="00D32BDF" w:rsidRPr="00544870" w:rsidRDefault="00D32BDF" w:rsidP="00D024DB">
            <w:pPr>
              <w:spacing w:after="0"/>
              <w:jc w:val="center"/>
              <w:rPr>
                <w:rFonts w:cs="Tahoma"/>
                <w:b/>
                <w:szCs w:val="18"/>
              </w:rPr>
            </w:pPr>
          </w:p>
        </w:tc>
        <w:tc>
          <w:tcPr>
            <w:tcW w:w="2381" w:type="dxa"/>
            <w:shd w:val="clear" w:color="auto" w:fill="auto"/>
          </w:tcPr>
          <w:p w14:paraId="23E77D95" w14:textId="77777777" w:rsidR="00D32BDF" w:rsidRPr="0018759B" w:rsidRDefault="00D32BDF" w:rsidP="0072437E">
            <w:pPr>
              <w:spacing w:before="120" w:after="120"/>
              <w:rPr>
                <w:rFonts w:cs="Tahoma"/>
                <w:szCs w:val="18"/>
              </w:rPr>
            </w:pPr>
            <w:r w:rsidRPr="0018759B">
              <w:rPr>
                <w:rFonts w:cs="Tahoma"/>
                <w:szCs w:val="18"/>
              </w:rPr>
              <w:t>(koeficienta ieteicam</w:t>
            </w:r>
            <w:r w:rsidR="0072437E" w:rsidRPr="0018759B">
              <w:rPr>
                <w:rFonts w:cs="Tahoma"/>
                <w:szCs w:val="18"/>
              </w:rPr>
              <w:t>ā</w:t>
            </w:r>
            <w:r w:rsidRPr="0018759B">
              <w:rPr>
                <w:rFonts w:cs="Tahoma"/>
                <w:szCs w:val="18"/>
              </w:rPr>
              <w:t xml:space="preserve"> robeža 0.2-0.25).</w:t>
            </w:r>
          </w:p>
        </w:tc>
      </w:tr>
    </w:tbl>
    <w:p w14:paraId="53336B54" w14:textId="77777777" w:rsidR="00A90894" w:rsidRDefault="00A90894" w:rsidP="00D32BDF">
      <w:pPr>
        <w:spacing w:before="120" w:after="120"/>
        <w:jc w:val="both"/>
        <w:rPr>
          <w:rFonts w:cs="Tahoma"/>
          <w:b/>
          <w:szCs w:val="18"/>
        </w:rPr>
      </w:pPr>
    </w:p>
    <w:p w14:paraId="06BDA74B" w14:textId="77777777" w:rsidR="00D32BDF" w:rsidRPr="0018759B" w:rsidRDefault="00D32BDF" w:rsidP="00D32BDF">
      <w:pPr>
        <w:spacing w:before="120" w:after="120"/>
        <w:jc w:val="both"/>
        <w:rPr>
          <w:rFonts w:cs="Tahoma"/>
          <w:b/>
          <w:szCs w:val="18"/>
        </w:rPr>
      </w:pPr>
      <w:r w:rsidRPr="0018759B">
        <w:rPr>
          <w:rFonts w:cs="Tahoma"/>
          <w:b/>
          <w:szCs w:val="18"/>
        </w:rPr>
        <w:t>Rentabilitāte (Sabiedrības panākumi peļņas gūšanā):</w:t>
      </w:r>
    </w:p>
    <w:tbl>
      <w:tblPr>
        <w:tblW w:w="0" w:type="auto"/>
        <w:tblLook w:val="04A0" w:firstRow="1" w:lastRow="0" w:firstColumn="1" w:lastColumn="0" w:noHBand="0" w:noVBand="1"/>
      </w:tblPr>
      <w:tblGrid>
        <w:gridCol w:w="2414"/>
        <w:gridCol w:w="5102"/>
      </w:tblGrid>
      <w:tr w:rsidR="0018759B" w:rsidRPr="00544870" w14:paraId="4060F17E" w14:textId="77777777" w:rsidTr="0072437E">
        <w:tc>
          <w:tcPr>
            <w:tcW w:w="2414" w:type="dxa"/>
            <w:tcBorders>
              <w:bottom w:val="single" w:sz="4" w:space="0" w:color="auto"/>
            </w:tcBorders>
            <w:shd w:val="clear" w:color="auto" w:fill="auto"/>
          </w:tcPr>
          <w:p w14:paraId="34C79415" w14:textId="77777777" w:rsidR="00D32BDF" w:rsidRPr="00544870" w:rsidRDefault="00D32BDF" w:rsidP="00AF4EDC">
            <w:pPr>
              <w:spacing w:before="120" w:after="120"/>
              <w:jc w:val="both"/>
              <w:rPr>
                <w:rFonts w:cs="Tahoma"/>
                <w:szCs w:val="18"/>
              </w:rPr>
            </w:pPr>
            <w:r w:rsidRPr="00544870">
              <w:rPr>
                <w:rFonts w:cs="Tahoma"/>
                <w:szCs w:val="18"/>
              </w:rPr>
              <w:t>Bruto peļņas rādītājs (%)</w:t>
            </w:r>
          </w:p>
          <w:p w14:paraId="6788BE10" w14:textId="77777777" w:rsidR="007D68F7" w:rsidRPr="00544870" w:rsidRDefault="007D68F7" w:rsidP="00AF4EDC">
            <w:pPr>
              <w:spacing w:before="120" w:after="120"/>
              <w:jc w:val="both"/>
              <w:rPr>
                <w:rFonts w:cs="Tahoma"/>
                <w:szCs w:val="18"/>
              </w:rPr>
            </w:pPr>
          </w:p>
        </w:tc>
        <w:tc>
          <w:tcPr>
            <w:tcW w:w="4597" w:type="dxa"/>
            <w:tcBorders>
              <w:bottom w:val="single" w:sz="4" w:space="0" w:color="auto"/>
            </w:tcBorders>
            <w:shd w:val="clear" w:color="auto" w:fill="auto"/>
          </w:tcPr>
          <w:p w14:paraId="03F0519B" w14:textId="73089D87" w:rsidR="00D32BDF" w:rsidRPr="00544870" w:rsidRDefault="00000000" w:rsidP="00AF4EDC">
            <w:pPr>
              <w:rPr>
                <w:rFonts w:cs="Tahoma"/>
                <w:szCs w:val="18"/>
              </w:rPr>
            </w:pPr>
            <m:oMathPara>
              <m:oMath>
                <m:f>
                  <m:fPr>
                    <m:ctrlPr>
                      <w:rPr>
                        <w:rFonts w:ascii="Cambria Math" w:hAnsi="Cambria Math" w:cs="Tahoma"/>
                        <w:szCs w:val="18"/>
                      </w:rPr>
                    </m:ctrlPr>
                  </m:fPr>
                  <m:num>
                    <m:r>
                      <m:rPr>
                        <m:sty m:val="p"/>
                      </m:rPr>
                      <w:rPr>
                        <w:rFonts w:ascii="Cambria Math" w:hAnsi="Cambria Math" w:cs="Tahoma"/>
                        <w:szCs w:val="18"/>
                      </w:rPr>
                      <m:t xml:space="preserve">Apgrozījums-Pārdotās produkcijas ražošanas izmaksas </m:t>
                    </m:r>
                  </m:num>
                  <m:den>
                    <m:r>
                      <m:rPr>
                        <m:sty m:val="p"/>
                      </m:rPr>
                      <w:rPr>
                        <w:rFonts w:ascii="Cambria Math" w:hAnsi="Cambria Math" w:cs="Tahoma"/>
                        <w:szCs w:val="18"/>
                      </w:rPr>
                      <m:t xml:space="preserve">Apgrozījums  </m:t>
                    </m:r>
                  </m:den>
                </m:f>
                <m:r>
                  <w:rPr>
                    <w:rFonts w:ascii="Cambria Math" w:hAnsi="Cambria Math" w:cs="Tahoma"/>
                    <w:szCs w:val="18"/>
                  </w:rPr>
                  <m:t>16.92</m:t>
                </m:r>
              </m:oMath>
            </m:oMathPara>
          </w:p>
          <w:p w14:paraId="357764C0" w14:textId="77777777" w:rsidR="007D68F7" w:rsidRPr="00544870" w:rsidRDefault="007D68F7" w:rsidP="00D024DB">
            <w:pPr>
              <w:jc w:val="center"/>
              <w:rPr>
                <w:rFonts w:cs="Tahoma"/>
                <w:b/>
                <w:szCs w:val="18"/>
              </w:rPr>
            </w:pPr>
          </w:p>
        </w:tc>
      </w:tr>
    </w:tbl>
    <w:p w14:paraId="3EB9ECED" w14:textId="77777777" w:rsidR="00170A13" w:rsidRPr="00544870" w:rsidRDefault="00170A13" w:rsidP="00D32BDF">
      <w:pPr>
        <w:spacing w:before="120" w:after="120"/>
        <w:jc w:val="both"/>
        <w:rPr>
          <w:rFonts w:cs="Tahoma"/>
          <w:b/>
          <w:szCs w:val="18"/>
        </w:rPr>
      </w:pPr>
    </w:p>
    <w:p w14:paraId="7DC3228D" w14:textId="77777777" w:rsidR="00170A13" w:rsidRPr="00544870" w:rsidRDefault="00170A13" w:rsidP="00D32BDF">
      <w:pPr>
        <w:spacing w:before="120" w:after="120"/>
        <w:jc w:val="both"/>
        <w:rPr>
          <w:rFonts w:cs="Tahoma"/>
          <w:b/>
          <w:szCs w:val="18"/>
        </w:rPr>
      </w:pPr>
    </w:p>
    <w:p w14:paraId="621D3D26" w14:textId="77777777" w:rsidR="00D32BDF" w:rsidRPr="00544870" w:rsidRDefault="00D32BDF" w:rsidP="00D32BDF">
      <w:pPr>
        <w:spacing w:before="120" w:after="120"/>
        <w:jc w:val="both"/>
        <w:rPr>
          <w:rFonts w:cs="Tahoma"/>
          <w:b/>
          <w:szCs w:val="18"/>
        </w:rPr>
      </w:pPr>
      <w:r w:rsidRPr="00544870">
        <w:rPr>
          <w:rFonts w:cs="Tahoma"/>
          <w:b/>
          <w:szCs w:val="18"/>
        </w:rPr>
        <w:t>Nodrošinājuma ar pašu līdzekļiem koeficients</w:t>
      </w:r>
    </w:p>
    <w:tbl>
      <w:tblPr>
        <w:tblW w:w="0" w:type="auto"/>
        <w:tblLook w:val="04A0" w:firstRow="1" w:lastRow="0" w:firstColumn="1" w:lastColumn="0" w:noHBand="0" w:noVBand="1"/>
      </w:tblPr>
      <w:tblGrid>
        <w:gridCol w:w="2414"/>
        <w:gridCol w:w="4915"/>
      </w:tblGrid>
      <w:tr w:rsidR="00544870" w:rsidRPr="00544870" w14:paraId="26730A6B" w14:textId="77777777" w:rsidTr="001C2191">
        <w:tc>
          <w:tcPr>
            <w:tcW w:w="2414" w:type="dxa"/>
            <w:tcBorders>
              <w:bottom w:val="single" w:sz="4" w:space="0" w:color="auto"/>
            </w:tcBorders>
            <w:shd w:val="clear" w:color="auto" w:fill="auto"/>
          </w:tcPr>
          <w:p w14:paraId="16BFB47F" w14:textId="77777777" w:rsidR="00D32BDF" w:rsidRPr="00544870" w:rsidRDefault="00D32BDF" w:rsidP="00B1349F">
            <w:pPr>
              <w:spacing w:before="120" w:after="120"/>
              <w:rPr>
                <w:rFonts w:cs="Tahoma"/>
                <w:szCs w:val="18"/>
              </w:rPr>
            </w:pPr>
            <w:r w:rsidRPr="00544870">
              <w:rPr>
                <w:rFonts w:cs="Tahoma"/>
                <w:szCs w:val="18"/>
              </w:rPr>
              <w:t>Ilgtermiņa ieguldījumu segums ar pašu kapitālu</w:t>
            </w:r>
          </w:p>
        </w:tc>
        <w:tc>
          <w:tcPr>
            <w:tcW w:w="4915" w:type="dxa"/>
            <w:tcBorders>
              <w:bottom w:val="single" w:sz="4" w:space="0" w:color="auto"/>
            </w:tcBorders>
            <w:shd w:val="clear" w:color="auto" w:fill="auto"/>
          </w:tcPr>
          <w:p w14:paraId="537C2FDF" w14:textId="27810A71" w:rsidR="00D32BDF" w:rsidRPr="00544870" w:rsidRDefault="00000000" w:rsidP="00AF4EDC">
            <w:pPr>
              <w:jc w:val="center"/>
              <w:rPr>
                <w:rFonts w:cs="Tahoma"/>
                <w:szCs w:val="18"/>
              </w:rPr>
            </w:pPr>
            <m:oMathPara>
              <m:oMath>
                <m:f>
                  <m:fPr>
                    <m:ctrlPr>
                      <w:rPr>
                        <w:rFonts w:ascii="Cambria Math" w:hAnsi="Cambria Math" w:cs="Tahoma"/>
                        <w:szCs w:val="18"/>
                      </w:rPr>
                    </m:ctrlPr>
                  </m:fPr>
                  <m:num>
                    <m:r>
                      <m:rPr>
                        <m:sty m:val="p"/>
                      </m:rPr>
                      <w:rPr>
                        <w:rFonts w:ascii="Cambria Math" w:hAnsi="Cambria Math" w:cs="Tahoma"/>
                        <w:szCs w:val="18"/>
                      </w:rPr>
                      <m:t xml:space="preserve">Pašu kapitāls </m:t>
                    </m:r>
                  </m:num>
                  <m:den>
                    <m:r>
                      <m:rPr>
                        <m:sty m:val="p"/>
                      </m:rPr>
                      <w:rPr>
                        <w:rFonts w:ascii="Cambria Math" w:hAnsi="Cambria Math" w:cs="Tahoma"/>
                        <w:szCs w:val="18"/>
                      </w:rPr>
                      <m:t>Ilgtermiņa ieguldījumi</m:t>
                    </m:r>
                  </m:den>
                </m:f>
                <m:r>
                  <w:rPr>
                    <w:rFonts w:ascii="Cambria Math" w:hAnsi="Cambria Math" w:cs="Tahoma"/>
                    <w:szCs w:val="18"/>
                  </w:rPr>
                  <m:t xml:space="preserve"> 0.70</m:t>
                </m:r>
              </m:oMath>
            </m:oMathPara>
          </w:p>
          <w:p w14:paraId="5E455FA4" w14:textId="77777777" w:rsidR="00A05AAB" w:rsidRPr="00544870" w:rsidRDefault="00A05AAB" w:rsidP="00D024DB">
            <w:pPr>
              <w:jc w:val="center"/>
              <w:rPr>
                <w:rFonts w:cs="Tahoma"/>
                <w:b/>
                <w:szCs w:val="18"/>
              </w:rPr>
            </w:pPr>
          </w:p>
        </w:tc>
      </w:tr>
      <w:tr w:rsidR="00544870" w:rsidRPr="00544870" w14:paraId="09C99019" w14:textId="77777777" w:rsidTr="001C2191">
        <w:tc>
          <w:tcPr>
            <w:tcW w:w="2414" w:type="dxa"/>
            <w:tcBorders>
              <w:top w:val="single" w:sz="4" w:space="0" w:color="auto"/>
              <w:bottom w:val="single" w:sz="4" w:space="0" w:color="auto"/>
            </w:tcBorders>
            <w:shd w:val="clear" w:color="auto" w:fill="auto"/>
          </w:tcPr>
          <w:p w14:paraId="26637DAB" w14:textId="77777777" w:rsidR="00D32BDF" w:rsidRPr="00544870" w:rsidRDefault="00D32BDF" w:rsidP="00B1349F">
            <w:pPr>
              <w:spacing w:before="120" w:after="120"/>
              <w:rPr>
                <w:rFonts w:cs="Tahoma"/>
                <w:szCs w:val="18"/>
              </w:rPr>
            </w:pPr>
            <w:r w:rsidRPr="00544870">
              <w:rPr>
                <w:rFonts w:cs="Tahoma"/>
                <w:szCs w:val="18"/>
              </w:rPr>
              <w:t>Apgrozāmo līdzekļu segums ar īstermiņa saistībām</w:t>
            </w:r>
          </w:p>
        </w:tc>
        <w:tc>
          <w:tcPr>
            <w:tcW w:w="4915" w:type="dxa"/>
            <w:tcBorders>
              <w:top w:val="single" w:sz="4" w:space="0" w:color="auto"/>
              <w:bottom w:val="single" w:sz="4" w:space="0" w:color="auto"/>
            </w:tcBorders>
            <w:shd w:val="clear" w:color="auto" w:fill="auto"/>
          </w:tcPr>
          <w:p w14:paraId="51D8D7F2" w14:textId="1BE586B9" w:rsidR="00D32BDF" w:rsidRPr="00544870" w:rsidRDefault="00000000" w:rsidP="00AF4EDC">
            <w:pPr>
              <w:jc w:val="center"/>
              <w:rPr>
                <w:rFonts w:cs="Tahoma"/>
                <w:szCs w:val="18"/>
              </w:rPr>
            </w:pPr>
            <m:oMathPara>
              <m:oMath>
                <m:f>
                  <m:fPr>
                    <m:ctrlPr>
                      <w:rPr>
                        <w:rFonts w:ascii="Cambria Math" w:hAnsi="Cambria Math" w:cs="Tahoma"/>
                        <w:szCs w:val="18"/>
                      </w:rPr>
                    </m:ctrlPr>
                  </m:fPr>
                  <m:num>
                    <m:r>
                      <m:rPr>
                        <m:sty m:val="p"/>
                      </m:rPr>
                      <w:rPr>
                        <w:rFonts w:ascii="Cambria Math" w:hAnsi="Cambria Math" w:cs="Tahoma"/>
                        <w:szCs w:val="18"/>
                      </w:rPr>
                      <m:t xml:space="preserve">Īstermiņa saistības </m:t>
                    </m:r>
                  </m:num>
                  <m:den>
                    <m:r>
                      <m:rPr>
                        <m:sty m:val="p"/>
                      </m:rPr>
                      <w:rPr>
                        <w:rFonts w:ascii="Cambria Math" w:hAnsi="Cambria Math" w:cs="Tahoma"/>
                        <w:szCs w:val="18"/>
                      </w:rPr>
                      <m:t>Apgrozāmie līdzekļi</m:t>
                    </m:r>
                  </m:den>
                </m:f>
                <m:r>
                  <w:rPr>
                    <w:rFonts w:ascii="Cambria Math" w:hAnsi="Cambria Math" w:cs="Tahoma"/>
                    <w:szCs w:val="18"/>
                  </w:rPr>
                  <m:t xml:space="preserve"> 0.76</m:t>
                </m:r>
              </m:oMath>
            </m:oMathPara>
          </w:p>
          <w:p w14:paraId="06E13C0E" w14:textId="77777777" w:rsidR="00B1349F" w:rsidRPr="00544870" w:rsidRDefault="00B1349F" w:rsidP="00D024DB">
            <w:pPr>
              <w:jc w:val="center"/>
              <w:rPr>
                <w:rFonts w:cs="Tahoma"/>
                <w:b/>
                <w:szCs w:val="18"/>
              </w:rPr>
            </w:pPr>
          </w:p>
        </w:tc>
      </w:tr>
      <w:tr w:rsidR="00544870" w:rsidRPr="00544870" w14:paraId="45C469E4" w14:textId="77777777" w:rsidTr="001C2191">
        <w:tc>
          <w:tcPr>
            <w:tcW w:w="2414" w:type="dxa"/>
            <w:tcBorders>
              <w:top w:val="single" w:sz="4" w:space="0" w:color="auto"/>
            </w:tcBorders>
            <w:shd w:val="clear" w:color="auto" w:fill="auto"/>
          </w:tcPr>
          <w:p w14:paraId="14A9CC9A" w14:textId="77777777" w:rsidR="00D024DB" w:rsidRPr="00544870" w:rsidRDefault="00D32BDF" w:rsidP="00AF4EDC">
            <w:pPr>
              <w:spacing w:before="120" w:after="120"/>
              <w:jc w:val="both"/>
              <w:rPr>
                <w:rFonts w:cs="Tahoma"/>
                <w:szCs w:val="18"/>
              </w:rPr>
            </w:pPr>
            <w:r w:rsidRPr="00544870">
              <w:rPr>
                <w:rFonts w:cs="Tahoma"/>
                <w:szCs w:val="18"/>
              </w:rPr>
              <w:t xml:space="preserve">Neto apgrozāmais kapitāls </w:t>
            </w:r>
          </w:p>
          <w:p w14:paraId="511AE84A" w14:textId="77777777" w:rsidR="00D32BDF" w:rsidRPr="00544870" w:rsidRDefault="00D32BDF" w:rsidP="00AF4EDC">
            <w:pPr>
              <w:spacing w:before="120" w:after="120"/>
              <w:jc w:val="both"/>
              <w:rPr>
                <w:rFonts w:cs="Tahoma"/>
                <w:szCs w:val="18"/>
              </w:rPr>
            </w:pPr>
          </w:p>
        </w:tc>
        <w:tc>
          <w:tcPr>
            <w:tcW w:w="4915" w:type="dxa"/>
            <w:tcBorders>
              <w:top w:val="single" w:sz="4" w:space="0" w:color="auto"/>
            </w:tcBorders>
            <w:shd w:val="clear" w:color="auto" w:fill="auto"/>
          </w:tcPr>
          <w:p w14:paraId="274CBB91" w14:textId="232E8CEC" w:rsidR="0072437E" w:rsidRPr="00544870" w:rsidRDefault="00D32BDF" w:rsidP="00A90894">
            <w:pPr>
              <w:spacing w:before="240" w:after="0"/>
              <w:jc w:val="center"/>
              <w:rPr>
                <w:rFonts w:ascii="Cambria Math" w:hAnsi="Cambria Math" w:cs="Tahoma"/>
                <w:szCs w:val="18"/>
              </w:rPr>
            </w:pPr>
            <w:r w:rsidRPr="00544870">
              <w:rPr>
                <w:rFonts w:ascii="Cambria Math" w:hAnsi="Cambria Math" w:cs="Tahoma"/>
                <w:szCs w:val="18"/>
              </w:rPr>
              <w:t>Apgrozāmi</w:t>
            </w:r>
            <w:r w:rsidR="006D3FA1" w:rsidRPr="00544870">
              <w:rPr>
                <w:rFonts w:ascii="Cambria Math" w:hAnsi="Cambria Math" w:cs="Tahoma"/>
                <w:szCs w:val="18"/>
              </w:rPr>
              <w:t>e līdzekļi – Īstermiņa saistības</w:t>
            </w:r>
            <w:r w:rsidR="00A90894" w:rsidRPr="00544870">
              <w:rPr>
                <w:rFonts w:ascii="Cambria Math" w:hAnsi="Cambria Math" w:cs="Tahoma"/>
                <w:szCs w:val="18"/>
              </w:rPr>
              <w:t xml:space="preserve"> </w:t>
            </w:r>
            <w:r w:rsidR="006D3FA1" w:rsidRPr="00544870">
              <w:rPr>
                <w:rFonts w:ascii="Cambria Math" w:hAnsi="Cambria Math" w:cs="Tahoma"/>
                <w:szCs w:val="18"/>
              </w:rPr>
              <w:t xml:space="preserve"> </w:t>
            </w:r>
            <w:r w:rsidR="00452EE0">
              <w:rPr>
                <w:rFonts w:ascii="Cambria Math" w:hAnsi="Cambria Math" w:cs="Tahoma"/>
                <w:szCs w:val="18"/>
              </w:rPr>
              <w:t>186 181</w:t>
            </w:r>
          </w:p>
        </w:tc>
      </w:tr>
    </w:tbl>
    <w:p w14:paraId="1B1F1CDB" w14:textId="77777777" w:rsidR="00D32BDF" w:rsidRPr="002C2B1B" w:rsidRDefault="00D32BDF" w:rsidP="00D32BDF">
      <w:pPr>
        <w:spacing w:before="120" w:after="120"/>
        <w:jc w:val="both"/>
        <w:rPr>
          <w:rFonts w:cs="Tahoma"/>
          <w:b/>
          <w:szCs w:val="18"/>
        </w:rPr>
      </w:pPr>
      <w:r w:rsidRPr="002C2B1B">
        <w:rPr>
          <w:rFonts w:cs="Tahoma"/>
          <w:b/>
          <w:szCs w:val="18"/>
        </w:rPr>
        <w:t>Saistību vai maksātspējas rādītāji (Sabiedrības spēja segt īstermiņa un ilgtermiņa saistības):</w:t>
      </w:r>
    </w:p>
    <w:tbl>
      <w:tblPr>
        <w:tblW w:w="0" w:type="auto"/>
        <w:tblLook w:val="04A0" w:firstRow="1" w:lastRow="0" w:firstColumn="1" w:lastColumn="0" w:noHBand="0" w:noVBand="1"/>
      </w:tblPr>
      <w:tblGrid>
        <w:gridCol w:w="2414"/>
        <w:gridCol w:w="4448"/>
      </w:tblGrid>
      <w:tr w:rsidR="002273FF" w:rsidRPr="002C2B1B" w14:paraId="73F94434" w14:textId="77777777" w:rsidTr="00AF4EDC">
        <w:tc>
          <w:tcPr>
            <w:tcW w:w="2414" w:type="dxa"/>
            <w:tcBorders>
              <w:bottom w:val="single" w:sz="4" w:space="0" w:color="auto"/>
            </w:tcBorders>
            <w:shd w:val="clear" w:color="auto" w:fill="auto"/>
          </w:tcPr>
          <w:p w14:paraId="13A2CCE9" w14:textId="77777777" w:rsidR="00D32BDF" w:rsidRPr="002C2B1B" w:rsidRDefault="00D32BDF" w:rsidP="00AF4EDC">
            <w:pPr>
              <w:spacing w:before="120" w:after="120"/>
              <w:jc w:val="both"/>
              <w:rPr>
                <w:rFonts w:cs="Tahoma"/>
                <w:szCs w:val="18"/>
              </w:rPr>
            </w:pPr>
            <w:r w:rsidRPr="002C2B1B">
              <w:rPr>
                <w:rFonts w:cs="Tahoma"/>
                <w:szCs w:val="18"/>
              </w:rPr>
              <w:t>Saistību īpatsvars bilancē</w:t>
            </w:r>
          </w:p>
        </w:tc>
        <w:tc>
          <w:tcPr>
            <w:tcW w:w="4448" w:type="dxa"/>
            <w:tcBorders>
              <w:bottom w:val="single" w:sz="4" w:space="0" w:color="auto"/>
            </w:tcBorders>
            <w:shd w:val="clear" w:color="auto" w:fill="auto"/>
          </w:tcPr>
          <w:p w14:paraId="679BC7D4" w14:textId="599CC186" w:rsidR="00D32BDF" w:rsidRPr="00544870" w:rsidRDefault="00000000" w:rsidP="00AF4EDC">
            <w:pPr>
              <w:jc w:val="center"/>
              <w:rPr>
                <w:rFonts w:cs="Tahoma"/>
                <w:szCs w:val="18"/>
              </w:rPr>
            </w:pPr>
            <m:oMathPara>
              <m:oMath>
                <m:f>
                  <m:fPr>
                    <m:ctrlPr>
                      <w:rPr>
                        <w:rFonts w:ascii="Cambria Math" w:hAnsi="Cambria Math" w:cs="Tahoma"/>
                        <w:szCs w:val="18"/>
                      </w:rPr>
                    </m:ctrlPr>
                  </m:fPr>
                  <m:num>
                    <m:r>
                      <m:rPr>
                        <m:sty m:val="p"/>
                      </m:rPr>
                      <w:rPr>
                        <w:rFonts w:ascii="Cambria Math" w:hAnsi="Cambria Math" w:cs="Tahoma"/>
                        <w:szCs w:val="18"/>
                      </w:rPr>
                      <m:t>Kopējās saistības</m:t>
                    </m:r>
                  </m:num>
                  <m:den>
                    <m:r>
                      <m:rPr>
                        <m:sty m:val="p"/>
                      </m:rPr>
                      <w:rPr>
                        <w:rFonts w:ascii="Cambria Math" w:hAnsi="Cambria Math" w:cs="Tahoma"/>
                        <w:szCs w:val="18"/>
                      </w:rPr>
                      <m:t xml:space="preserve">Bilances kopsumma </m:t>
                    </m:r>
                  </m:den>
                </m:f>
                <m:r>
                  <w:rPr>
                    <w:rFonts w:ascii="Cambria Math" w:hAnsi="Cambria Math" w:cs="Tahoma"/>
                    <w:szCs w:val="18"/>
                  </w:rPr>
                  <m:t>0.54</m:t>
                </m:r>
              </m:oMath>
            </m:oMathPara>
          </w:p>
          <w:p w14:paraId="5E4E1144" w14:textId="77777777" w:rsidR="00B1349F" w:rsidRPr="00544870" w:rsidRDefault="00B1349F" w:rsidP="00FF569E">
            <w:pPr>
              <w:jc w:val="center"/>
              <w:rPr>
                <w:rFonts w:cs="Tahoma"/>
                <w:b/>
                <w:szCs w:val="18"/>
              </w:rPr>
            </w:pPr>
          </w:p>
        </w:tc>
      </w:tr>
      <w:tr w:rsidR="002273FF" w:rsidRPr="002C2B1B" w14:paraId="21782B6E" w14:textId="77777777" w:rsidTr="00AF4EDC">
        <w:tc>
          <w:tcPr>
            <w:tcW w:w="2414" w:type="dxa"/>
            <w:tcBorders>
              <w:top w:val="single" w:sz="4" w:space="0" w:color="auto"/>
              <w:bottom w:val="single" w:sz="4" w:space="0" w:color="auto"/>
            </w:tcBorders>
            <w:shd w:val="clear" w:color="auto" w:fill="auto"/>
          </w:tcPr>
          <w:p w14:paraId="3CBA6B50" w14:textId="77777777" w:rsidR="00D32BDF" w:rsidRPr="002C2B1B" w:rsidRDefault="00D32BDF" w:rsidP="00AF4EDC">
            <w:pPr>
              <w:spacing w:before="120" w:after="120"/>
              <w:jc w:val="both"/>
              <w:rPr>
                <w:rFonts w:cs="Tahoma"/>
                <w:szCs w:val="18"/>
              </w:rPr>
            </w:pPr>
            <w:r w:rsidRPr="002C2B1B">
              <w:rPr>
                <w:rFonts w:cs="Tahoma"/>
                <w:szCs w:val="18"/>
              </w:rPr>
              <w:t>Saistību attiecība pret pašu kapitālu</w:t>
            </w:r>
          </w:p>
        </w:tc>
        <w:tc>
          <w:tcPr>
            <w:tcW w:w="4448" w:type="dxa"/>
            <w:tcBorders>
              <w:top w:val="single" w:sz="4" w:space="0" w:color="auto"/>
              <w:bottom w:val="single" w:sz="4" w:space="0" w:color="auto"/>
            </w:tcBorders>
            <w:shd w:val="clear" w:color="auto" w:fill="auto"/>
            <w:vAlign w:val="center"/>
          </w:tcPr>
          <w:p w14:paraId="56B3AF9B" w14:textId="7D500A65" w:rsidR="00D32BDF" w:rsidRPr="00544870" w:rsidRDefault="00000000" w:rsidP="00AF4EDC">
            <w:pPr>
              <w:jc w:val="center"/>
              <w:rPr>
                <w:rFonts w:cs="Tahoma"/>
                <w:szCs w:val="18"/>
              </w:rPr>
            </w:pPr>
            <m:oMathPara>
              <m:oMath>
                <m:f>
                  <m:fPr>
                    <m:ctrlPr>
                      <w:rPr>
                        <w:rFonts w:ascii="Cambria Math" w:hAnsi="Cambria Math" w:cs="Tahoma"/>
                        <w:szCs w:val="18"/>
                      </w:rPr>
                    </m:ctrlPr>
                  </m:fPr>
                  <m:num>
                    <m:r>
                      <m:rPr>
                        <m:sty m:val="p"/>
                      </m:rPr>
                      <w:rPr>
                        <w:rFonts w:ascii="Cambria Math" w:hAnsi="Cambria Math" w:cs="Tahoma"/>
                        <w:szCs w:val="18"/>
                      </w:rPr>
                      <m:t>Kopējās saistības</m:t>
                    </m:r>
                  </m:num>
                  <m:den>
                    <m:r>
                      <m:rPr>
                        <m:sty m:val="p"/>
                      </m:rPr>
                      <w:rPr>
                        <w:rFonts w:ascii="Cambria Math" w:hAnsi="Cambria Math" w:cs="Tahoma"/>
                        <w:szCs w:val="18"/>
                      </w:rPr>
                      <m:t>Pašu kapitāls</m:t>
                    </m:r>
                  </m:den>
                </m:f>
                <m:r>
                  <w:rPr>
                    <w:rFonts w:ascii="Cambria Math" w:hAnsi="Cambria Math" w:cs="Tahoma"/>
                    <w:szCs w:val="18"/>
                  </w:rPr>
                  <m:t>1.17</m:t>
                </m:r>
              </m:oMath>
            </m:oMathPara>
          </w:p>
          <w:p w14:paraId="4664BB74" w14:textId="77777777" w:rsidR="00B1349F" w:rsidRPr="00544870" w:rsidRDefault="00B1349F" w:rsidP="00FF569E">
            <w:pPr>
              <w:jc w:val="center"/>
              <w:rPr>
                <w:rFonts w:cs="Tahoma"/>
                <w:b/>
                <w:szCs w:val="18"/>
              </w:rPr>
            </w:pPr>
          </w:p>
        </w:tc>
      </w:tr>
    </w:tbl>
    <w:p w14:paraId="2E802417" w14:textId="1C12D98A" w:rsidR="00D32BDF" w:rsidRPr="006267EE" w:rsidRDefault="00D32BDF" w:rsidP="00D32BDF">
      <w:pPr>
        <w:spacing w:before="120" w:after="120"/>
        <w:jc w:val="both"/>
        <w:rPr>
          <w:rFonts w:cs="Tahoma"/>
          <w:b/>
          <w:szCs w:val="18"/>
        </w:rPr>
      </w:pPr>
      <w:r w:rsidRPr="006267EE">
        <w:rPr>
          <w:rFonts w:cs="Tahoma"/>
          <w:b/>
          <w:szCs w:val="18"/>
        </w:rPr>
        <w:t>Sabiedrības akciju vai daļu kopums</w:t>
      </w:r>
    </w:p>
    <w:p w14:paraId="04F542D4" w14:textId="321A6D0F" w:rsidR="000D1B1F" w:rsidRPr="00D354DB" w:rsidRDefault="000D1B1F" w:rsidP="00D32BDF">
      <w:pPr>
        <w:spacing w:before="120" w:after="120"/>
        <w:jc w:val="both"/>
        <w:rPr>
          <w:rFonts w:cs="Tahoma"/>
          <w:color w:val="000000" w:themeColor="text1"/>
          <w:szCs w:val="18"/>
        </w:rPr>
      </w:pPr>
      <w:r w:rsidRPr="00D354DB">
        <w:rPr>
          <w:rFonts w:cs="Tahoma"/>
          <w:color w:val="000000" w:themeColor="text1"/>
          <w:szCs w:val="18"/>
        </w:rPr>
        <w:t>20</w:t>
      </w:r>
      <w:r w:rsidR="00B56AA8" w:rsidRPr="00D354DB">
        <w:rPr>
          <w:rFonts w:cs="Tahoma"/>
          <w:color w:val="000000" w:themeColor="text1"/>
          <w:szCs w:val="18"/>
        </w:rPr>
        <w:t>2</w:t>
      </w:r>
      <w:r w:rsidR="00C85A68">
        <w:rPr>
          <w:rFonts w:cs="Tahoma"/>
          <w:color w:val="000000" w:themeColor="text1"/>
          <w:szCs w:val="18"/>
        </w:rPr>
        <w:t>2</w:t>
      </w:r>
      <w:r w:rsidR="006D3FA1" w:rsidRPr="00D354DB">
        <w:rPr>
          <w:rFonts w:cs="Tahoma"/>
          <w:color w:val="000000" w:themeColor="text1"/>
          <w:szCs w:val="18"/>
        </w:rPr>
        <w:t>.</w:t>
      </w:r>
      <w:r w:rsidRPr="00D354DB">
        <w:rPr>
          <w:rFonts w:cs="Tahoma"/>
          <w:color w:val="000000" w:themeColor="text1"/>
          <w:szCs w:val="18"/>
        </w:rPr>
        <w:t xml:space="preserve">gada </w:t>
      </w:r>
      <w:r w:rsidR="006D3FA1" w:rsidRPr="00D354DB">
        <w:rPr>
          <w:rFonts w:cs="Tahoma"/>
          <w:color w:val="000000" w:themeColor="text1"/>
          <w:szCs w:val="18"/>
        </w:rPr>
        <w:t>3</w:t>
      </w:r>
      <w:r w:rsidR="00C85A68">
        <w:rPr>
          <w:rFonts w:cs="Tahoma"/>
          <w:color w:val="000000" w:themeColor="text1"/>
          <w:szCs w:val="18"/>
        </w:rPr>
        <w:t>0. jūnijā</w:t>
      </w:r>
      <w:r w:rsidRPr="00D354DB">
        <w:rPr>
          <w:rFonts w:cs="Tahoma"/>
          <w:color w:val="000000" w:themeColor="text1"/>
          <w:szCs w:val="18"/>
        </w:rPr>
        <w:t xml:space="preserve"> Sabiedrības reģistrētais un apmaksātais pamatkapitāls ir EUR 1</w:t>
      </w:r>
      <w:r w:rsidR="00C85A68">
        <w:rPr>
          <w:rFonts w:cs="Tahoma"/>
          <w:color w:val="000000" w:themeColor="text1"/>
          <w:szCs w:val="18"/>
        </w:rPr>
        <w:t> </w:t>
      </w:r>
      <w:r w:rsidRPr="00D354DB">
        <w:rPr>
          <w:rFonts w:cs="Tahoma"/>
          <w:color w:val="000000" w:themeColor="text1"/>
          <w:szCs w:val="18"/>
        </w:rPr>
        <w:t>8</w:t>
      </w:r>
      <w:r w:rsidR="00C85A68">
        <w:rPr>
          <w:rFonts w:cs="Tahoma"/>
          <w:color w:val="000000" w:themeColor="text1"/>
          <w:szCs w:val="18"/>
        </w:rPr>
        <w:t>98 524</w:t>
      </w:r>
      <w:r w:rsidRPr="00D354DB">
        <w:rPr>
          <w:rFonts w:cs="Tahoma"/>
          <w:color w:val="000000" w:themeColor="text1"/>
          <w:szCs w:val="18"/>
        </w:rPr>
        <w:t>, kas sastāv no 1</w:t>
      </w:r>
      <w:r w:rsidR="00C85A68">
        <w:rPr>
          <w:rFonts w:cs="Tahoma"/>
          <w:color w:val="000000" w:themeColor="text1"/>
          <w:szCs w:val="18"/>
        </w:rPr>
        <w:t> </w:t>
      </w:r>
      <w:r w:rsidRPr="00D354DB">
        <w:rPr>
          <w:rFonts w:cs="Tahoma"/>
          <w:color w:val="000000" w:themeColor="text1"/>
          <w:szCs w:val="18"/>
        </w:rPr>
        <w:t>8</w:t>
      </w:r>
      <w:r w:rsidR="00C85A68">
        <w:rPr>
          <w:rFonts w:cs="Tahoma"/>
          <w:color w:val="000000" w:themeColor="text1"/>
          <w:szCs w:val="18"/>
        </w:rPr>
        <w:t>98 524</w:t>
      </w:r>
      <w:r w:rsidRPr="00D354DB">
        <w:rPr>
          <w:rFonts w:cs="Tahoma"/>
          <w:color w:val="000000" w:themeColor="text1"/>
          <w:szCs w:val="18"/>
        </w:rPr>
        <w:t xml:space="preserve"> daļām, ar vienas daļas nominālvērtību 1</w:t>
      </w:r>
      <w:r w:rsidR="00E87E08" w:rsidRPr="00D354DB">
        <w:rPr>
          <w:rFonts w:cs="Tahoma"/>
          <w:color w:val="000000" w:themeColor="text1"/>
          <w:szCs w:val="18"/>
        </w:rPr>
        <w:t xml:space="preserve"> </w:t>
      </w:r>
      <w:r w:rsidRPr="00D354DB">
        <w:rPr>
          <w:rFonts w:cs="Tahoma"/>
          <w:color w:val="000000" w:themeColor="text1"/>
          <w:szCs w:val="18"/>
        </w:rPr>
        <w:t>(viens) euro.</w:t>
      </w:r>
    </w:p>
    <w:p w14:paraId="50116288" w14:textId="4833899E" w:rsidR="000D1B1F" w:rsidRPr="00A3288C" w:rsidRDefault="000D1B1F" w:rsidP="00D32BDF">
      <w:pPr>
        <w:spacing w:before="120" w:after="120"/>
        <w:jc w:val="both"/>
        <w:rPr>
          <w:rFonts w:cs="Tahoma"/>
          <w:color w:val="FF0000"/>
          <w:szCs w:val="18"/>
        </w:rPr>
      </w:pPr>
      <w:r w:rsidRPr="00CD42E7">
        <w:rPr>
          <w:rFonts w:cs="Tahoma"/>
          <w:szCs w:val="18"/>
        </w:rPr>
        <w:t xml:space="preserve">Pamatkapitāla attiecība pret pašu kapitālu </w:t>
      </w:r>
      <w:r w:rsidR="00653CD0" w:rsidRPr="00CD42E7">
        <w:rPr>
          <w:rFonts w:cs="Tahoma"/>
          <w:szCs w:val="18"/>
        </w:rPr>
        <w:t>u</w:t>
      </w:r>
      <w:r w:rsidRPr="00CD42E7">
        <w:rPr>
          <w:rFonts w:cs="Tahoma"/>
          <w:szCs w:val="18"/>
        </w:rPr>
        <w:t>z  3</w:t>
      </w:r>
      <w:r w:rsidR="00C85A68">
        <w:rPr>
          <w:rFonts w:cs="Tahoma"/>
          <w:szCs w:val="18"/>
        </w:rPr>
        <w:t>0.06.2022.</w:t>
      </w:r>
      <w:r w:rsidRPr="00CD42E7">
        <w:rPr>
          <w:rFonts w:cs="Tahoma"/>
          <w:szCs w:val="18"/>
        </w:rPr>
        <w:t xml:space="preserve"> ir </w:t>
      </w:r>
      <w:r w:rsidR="002C6D9D" w:rsidRPr="00CD42E7">
        <w:rPr>
          <w:rFonts w:cs="Tahoma"/>
          <w:szCs w:val="18"/>
        </w:rPr>
        <w:t>1.</w:t>
      </w:r>
      <w:r w:rsidR="00C85A68">
        <w:rPr>
          <w:rFonts w:cs="Tahoma"/>
          <w:szCs w:val="18"/>
        </w:rPr>
        <w:t>85</w:t>
      </w:r>
      <w:r w:rsidR="00653CD0" w:rsidRPr="00544870">
        <w:rPr>
          <w:rFonts w:cs="Tahoma"/>
          <w:szCs w:val="18"/>
        </w:rPr>
        <w:t xml:space="preserve">; </w:t>
      </w:r>
      <w:r w:rsidRPr="00544870">
        <w:rPr>
          <w:rFonts w:cs="Tahoma"/>
          <w:szCs w:val="18"/>
        </w:rPr>
        <w:t>uz 31.</w:t>
      </w:r>
      <w:r w:rsidR="00C85A68">
        <w:rPr>
          <w:rFonts w:cs="Tahoma"/>
          <w:szCs w:val="18"/>
        </w:rPr>
        <w:t>03.2022.</w:t>
      </w:r>
      <w:r w:rsidRPr="00544870">
        <w:rPr>
          <w:rFonts w:cs="Tahoma"/>
          <w:szCs w:val="18"/>
        </w:rPr>
        <w:t xml:space="preserve"> tas </w:t>
      </w:r>
      <w:r w:rsidR="00916666" w:rsidRPr="00544870">
        <w:rPr>
          <w:rFonts w:cs="Tahoma"/>
          <w:szCs w:val="18"/>
        </w:rPr>
        <w:t>bija</w:t>
      </w:r>
      <w:r w:rsidRPr="00544870">
        <w:rPr>
          <w:rFonts w:cs="Tahoma"/>
          <w:szCs w:val="18"/>
        </w:rPr>
        <w:t xml:space="preserve"> 1</w:t>
      </w:r>
      <w:r w:rsidR="00A3288C" w:rsidRPr="00544870">
        <w:rPr>
          <w:rFonts w:cs="Tahoma"/>
          <w:szCs w:val="18"/>
        </w:rPr>
        <w:t>.</w:t>
      </w:r>
      <w:r w:rsidR="00C85A68">
        <w:rPr>
          <w:rFonts w:cs="Tahoma"/>
          <w:szCs w:val="18"/>
        </w:rPr>
        <w:t>67.</w:t>
      </w:r>
    </w:p>
    <w:p w14:paraId="6A2B70A0" w14:textId="77777777" w:rsidR="006D3FA1" w:rsidRDefault="006D3FA1" w:rsidP="00D32BDF">
      <w:pPr>
        <w:spacing w:before="120" w:after="120"/>
        <w:jc w:val="both"/>
        <w:rPr>
          <w:rFonts w:cs="Tahoma"/>
          <w:szCs w:val="18"/>
        </w:rPr>
      </w:pPr>
    </w:p>
    <w:p w14:paraId="45FDD8FE" w14:textId="13AE0B33" w:rsidR="000D1B1F" w:rsidRPr="006267EE" w:rsidRDefault="000D1B1F" w:rsidP="00D32BDF">
      <w:pPr>
        <w:spacing w:before="120" w:after="120"/>
        <w:jc w:val="both"/>
        <w:rPr>
          <w:rFonts w:cs="Tahoma"/>
          <w:szCs w:val="18"/>
        </w:rPr>
      </w:pPr>
      <w:r w:rsidRPr="006267EE">
        <w:rPr>
          <w:rFonts w:cs="Tahoma"/>
          <w:szCs w:val="18"/>
        </w:rPr>
        <w:t>Uz 20</w:t>
      </w:r>
      <w:r w:rsidR="006267EE" w:rsidRPr="006267EE">
        <w:rPr>
          <w:rFonts w:cs="Tahoma"/>
          <w:szCs w:val="18"/>
        </w:rPr>
        <w:t>2</w:t>
      </w:r>
      <w:r w:rsidR="00DB4CBC">
        <w:rPr>
          <w:rFonts w:cs="Tahoma"/>
          <w:szCs w:val="18"/>
        </w:rPr>
        <w:t>2</w:t>
      </w:r>
      <w:r w:rsidR="006D3FA1">
        <w:rPr>
          <w:rFonts w:cs="Tahoma"/>
          <w:szCs w:val="18"/>
        </w:rPr>
        <w:t>.gada 3</w:t>
      </w:r>
      <w:r w:rsidR="00DB4CBC">
        <w:rPr>
          <w:rFonts w:cs="Tahoma"/>
          <w:szCs w:val="18"/>
        </w:rPr>
        <w:t>0. jūniju</w:t>
      </w:r>
      <w:r w:rsidRPr="006267EE">
        <w:rPr>
          <w:rFonts w:cs="Tahoma"/>
          <w:szCs w:val="18"/>
        </w:rPr>
        <w:t xml:space="preserve"> Sabiedrības dalībnieku kapitāla daļas sadalās sekojoši:</w:t>
      </w:r>
    </w:p>
    <w:tbl>
      <w:tblPr>
        <w:tblStyle w:val="Reatabula"/>
        <w:tblW w:w="9180" w:type="dxa"/>
        <w:tblBorders>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85"/>
        <w:gridCol w:w="1276"/>
        <w:gridCol w:w="1843"/>
        <w:gridCol w:w="1417"/>
        <w:gridCol w:w="1559"/>
      </w:tblGrid>
      <w:tr w:rsidR="000503BB" w:rsidRPr="000503BB" w14:paraId="46A8931F" w14:textId="77777777" w:rsidTr="002A1038">
        <w:tc>
          <w:tcPr>
            <w:tcW w:w="3085" w:type="dxa"/>
            <w:tcBorders>
              <w:top w:val="nil"/>
              <w:bottom w:val="single" w:sz="4" w:space="0" w:color="auto"/>
            </w:tcBorders>
          </w:tcPr>
          <w:p w14:paraId="367A5D18" w14:textId="77777777" w:rsidR="000D1B1F" w:rsidRPr="000503BB" w:rsidRDefault="000D1B1F" w:rsidP="002A1038">
            <w:pPr>
              <w:spacing w:after="0"/>
              <w:jc w:val="center"/>
              <w:rPr>
                <w:rFonts w:cs="Tahoma"/>
                <w:b/>
                <w:color w:val="000000" w:themeColor="text1"/>
                <w:szCs w:val="18"/>
              </w:rPr>
            </w:pPr>
            <w:r w:rsidRPr="000503BB">
              <w:rPr>
                <w:rFonts w:cs="Tahoma"/>
                <w:b/>
                <w:color w:val="000000" w:themeColor="text1"/>
                <w:szCs w:val="18"/>
              </w:rPr>
              <w:lastRenderedPageBreak/>
              <w:t>Sabiedrības dalībnieki</w:t>
            </w:r>
          </w:p>
        </w:tc>
        <w:tc>
          <w:tcPr>
            <w:tcW w:w="1276" w:type="dxa"/>
            <w:tcBorders>
              <w:top w:val="nil"/>
              <w:bottom w:val="single" w:sz="4" w:space="0" w:color="auto"/>
            </w:tcBorders>
          </w:tcPr>
          <w:p w14:paraId="0F522CE0" w14:textId="77777777" w:rsidR="000D1B1F" w:rsidRPr="000503BB" w:rsidRDefault="000D1B1F" w:rsidP="002A1038">
            <w:pPr>
              <w:spacing w:after="0"/>
              <w:jc w:val="center"/>
              <w:rPr>
                <w:rFonts w:cs="Tahoma"/>
                <w:b/>
                <w:color w:val="000000" w:themeColor="text1"/>
                <w:szCs w:val="18"/>
              </w:rPr>
            </w:pPr>
            <w:r w:rsidRPr="000503BB">
              <w:rPr>
                <w:rFonts w:cs="Tahoma"/>
                <w:b/>
                <w:color w:val="000000" w:themeColor="text1"/>
                <w:szCs w:val="18"/>
              </w:rPr>
              <w:t>Daļu skaits</w:t>
            </w:r>
          </w:p>
        </w:tc>
        <w:tc>
          <w:tcPr>
            <w:tcW w:w="1843" w:type="dxa"/>
            <w:tcBorders>
              <w:top w:val="nil"/>
              <w:bottom w:val="single" w:sz="4" w:space="0" w:color="auto"/>
            </w:tcBorders>
          </w:tcPr>
          <w:p w14:paraId="5E9047F8" w14:textId="77777777" w:rsidR="000D1B1F" w:rsidRPr="000503BB" w:rsidRDefault="000D1B1F" w:rsidP="002A1038">
            <w:pPr>
              <w:spacing w:after="0"/>
              <w:jc w:val="center"/>
              <w:rPr>
                <w:rFonts w:cs="Tahoma"/>
                <w:b/>
                <w:color w:val="000000" w:themeColor="text1"/>
                <w:szCs w:val="18"/>
              </w:rPr>
            </w:pPr>
            <w:r w:rsidRPr="000503BB">
              <w:rPr>
                <w:rFonts w:cs="Tahoma"/>
                <w:b/>
                <w:color w:val="000000" w:themeColor="text1"/>
                <w:szCs w:val="18"/>
              </w:rPr>
              <w:t>Nominālvērtība EUR</w:t>
            </w:r>
          </w:p>
        </w:tc>
        <w:tc>
          <w:tcPr>
            <w:tcW w:w="1417" w:type="dxa"/>
            <w:tcBorders>
              <w:top w:val="nil"/>
              <w:bottom w:val="single" w:sz="4" w:space="0" w:color="auto"/>
            </w:tcBorders>
          </w:tcPr>
          <w:p w14:paraId="6025D094" w14:textId="77777777" w:rsidR="000D1B1F" w:rsidRPr="000503BB" w:rsidRDefault="00FB7158" w:rsidP="002A1038">
            <w:pPr>
              <w:spacing w:after="0"/>
              <w:jc w:val="center"/>
              <w:rPr>
                <w:rFonts w:cs="Tahoma"/>
                <w:b/>
                <w:color w:val="000000" w:themeColor="text1"/>
                <w:szCs w:val="18"/>
              </w:rPr>
            </w:pPr>
            <w:r w:rsidRPr="000503BB">
              <w:rPr>
                <w:rFonts w:cs="Tahoma"/>
                <w:b/>
                <w:color w:val="000000" w:themeColor="text1"/>
                <w:szCs w:val="18"/>
              </w:rPr>
              <w:t>% sadalījums</w:t>
            </w:r>
          </w:p>
        </w:tc>
        <w:tc>
          <w:tcPr>
            <w:tcW w:w="1559" w:type="dxa"/>
            <w:tcBorders>
              <w:top w:val="nil"/>
              <w:bottom w:val="single" w:sz="4" w:space="0" w:color="auto"/>
            </w:tcBorders>
          </w:tcPr>
          <w:p w14:paraId="25BFB5A7" w14:textId="77777777" w:rsidR="000D1B1F" w:rsidRPr="000503BB" w:rsidRDefault="00FB7158" w:rsidP="002A1038">
            <w:pPr>
              <w:spacing w:after="0"/>
              <w:jc w:val="center"/>
              <w:rPr>
                <w:rFonts w:cs="Tahoma"/>
                <w:b/>
                <w:color w:val="000000" w:themeColor="text1"/>
                <w:szCs w:val="18"/>
              </w:rPr>
            </w:pPr>
            <w:r w:rsidRPr="000503BB">
              <w:rPr>
                <w:rFonts w:cs="Tahoma"/>
                <w:b/>
                <w:color w:val="000000" w:themeColor="text1"/>
                <w:szCs w:val="18"/>
              </w:rPr>
              <w:t>Summa EUR</w:t>
            </w:r>
          </w:p>
        </w:tc>
      </w:tr>
      <w:tr w:rsidR="000503BB" w:rsidRPr="000503BB" w14:paraId="467E5049" w14:textId="77777777" w:rsidTr="002A1038">
        <w:tc>
          <w:tcPr>
            <w:tcW w:w="3085" w:type="dxa"/>
            <w:tcBorders>
              <w:top w:val="single" w:sz="4" w:space="0" w:color="auto"/>
            </w:tcBorders>
          </w:tcPr>
          <w:p w14:paraId="4C20E2BB" w14:textId="77777777" w:rsidR="000D1B1F" w:rsidRPr="000503BB" w:rsidRDefault="00FB7158" w:rsidP="00FB7158">
            <w:pPr>
              <w:spacing w:after="0"/>
              <w:rPr>
                <w:rFonts w:cs="Tahoma"/>
                <w:color w:val="000000" w:themeColor="text1"/>
                <w:szCs w:val="18"/>
              </w:rPr>
            </w:pPr>
            <w:r w:rsidRPr="000503BB">
              <w:rPr>
                <w:rFonts w:cs="Tahoma"/>
                <w:color w:val="000000" w:themeColor="text1"/>
                <w:szCs w:val="18"/>
              </w:rPr>
              <w:t>Limbažu novada pašvaldība</w:t>
            </w:r>
          </w:p>
        </w:tc>
        <w:tc>
          <w:tcPr>
            <w:tcW w:w="1276" w:type="dxa"/>
            <w:tcBorders>
              <w:top w:val="single" w:sz="4" w:space="0" w:color="auto"/>
            </w:tcBorders>
          </w:tcPr>
          <w:p w14:paraId="24A6EAF0" w14:textId="5E30F262" w:rsidR="000D1B1F" w:rsidRPr="000503BB" w:rsidRDefault="0047544E" w:rsidP="009D6C56">
            <w:pPr>
              <w:spacing w:after="0"/>
              <w:jc w:val="right"/>
              <w:rPr>
                <w:rFonts w:cs="Tahoma"/>
                <w:color w:val="000000" w:themeColor="text1"/>
                <w:szCs w:val="18"/>
              </w:rPr>
            </w:pPr>
            <w:r w:rsidRPr="000503BB">
              <w:rPr>
                <w:rFonts w:cs="Tahoma"/>
                <w:color w:val="000000" w:themeColor="text1"/>
                <w:szCs w:val="18"/>
              </w:rPr>
              <w:t>1</w:t>
            </w:r>
            <w:r w:rsidR="00916666">
              <w:rPr>
                <w:rFonts w:cs="Tahoma"/>
                <w:color w:val="000000" w:themeColor="text1"/>
                <w:szCs w:val="18"/>
              </w:rPr>
              <w:t> </w:t>
            </w:r>
            <w:r w:rsidR="00DB4CBC">
              <w:rPr>
                <w:rFonts w:cs="Tahoma"/>
                <w:color w:val="000000" w:themeColor="text1"/>
                <w:szCs w:val="18"/>
              </w:rPr>
              <w:t>820907</w:t>
            </w:r>
            <w:r w:rsidR="00916666">
              <w:rPr>
                <w:rFonts w:cs="Tahoma"/>
                <w:color w:val="000000" w:themeColor="text1"/>
                <w:szCs w:val="18"/>
              </w:rPr>
              <w:t xml:space="preserve"> </w:t>
            </w:r>
          </w:p>
        </w:tc>
        <w:tc>
          <w:tcPr>
            <w:tcW w:w="1843" w:type="dxa"/>
            <w:tcBorders>
              <w:top w:val="single" w:sz="4" w:space="0" w:color="auto"/>
            </w:tcBorders>
          </w:tcPr>
          <w:p w14:paraId="328FCC36" w14:textId="77777777" w:rsidR="000D1B1F" w:rsidRPr="000503BB" w:rsidRDefault="00FB7158" w:rsidP="00FB7158">
            <w:pPr>
              <w:spacing w:after="0"/>
              <w:jc w:val="center"/>
              <w:rPr>
                <w:rFonts w:cs="Tahoma"/>
                <w:color w:val="000000" w:themeColor="text1"/>
                <w:szCs w:val="18"/>
              </w:rPr>
            </w:pPr>
            <w:r w:rsidRPr="000503BB">
              <w:rPr>
                <w:rFonts w:cs="Tahoma"/>
                <w:color w:val="000000" w:themeColor="text1"/>
                <w:szCs w:val="18"/>
              </w:rPr>
              <w:t>1</w:t>
            </w:r>
          </w:p>
        </w:tc>
        <w:tc>
          <w:tcPr>
            <w:tcW w:w="1417" w:type="dxa"/>
            <w:tcBorders>
              <w:top w:val="single" w:sz="4" w:space="0" w:color="auto"/>
            </w:tcBorders>
          </w:tcPr>
          <w:p w14:paraId="5199F0FC" w14:textId="5307445E" w:rsidR="000D1B1F" w:rsidRPr="000503BB" w:rsidRDefault="007D0263" w:rsidP="009D6C56">
            <w:pPr>
              <w:spacing w:after="0"/>
              <w:jc w:val="right"/>
              <w:rPr>
                <w:rFonts w:cs="Tahoma"/>
                <w:color w:val="000000" w:themeColor="text1"/>
                <w:szCs w:val="18"/>
              </w:rPr>
            </w:pPr>
            <w:r w:rsidRPr="000503BB">
              <w:rPr>
                <w:rFonts w:cs="Tahoma"/>
                <w:color w:val="000000" w:themeColor="text1"/>
                <w:szCs w:val="18"/>
              </w:rPr>
              <w:t>95.</w:t>
            </w:r>
            <w:r w:rsidR="00DB4CBC">
              <w:rPr>
                <w:rFonts w:cs="Tahoma"/>
                <w:color w:val="000000" w:themeColor="text1"/>
                <w:szCs w:val="18"/>
              </w:rPr>
              <w:t>91172</w:t>
            </w:r>
          </w:p>
        </w:tc>
        <w:tc>
          <w:tcPr>
            <w:tcW w:w="1559" w:type="dxa"/>
            <w:tcBorders>
              <w:top w:val="single" w:sz="4" w:space="0" w:color="auto"/>
            </w:tcBorders>
          </w:tcPr>
          <w:p w14:paraId="19BEC452" w14:textId="0CA37A22" w:rsidR="000D1B1F" w:rsidRPr="000503BB" w:rsidRDefault="007D0263" w:rsidP="009D6C56">
            <w:pPr>
              <w:spacing w:after="0"/>
              <w:jc w:val="right"/>
              <w:rPr>
                <w:rFonts w:cs="Tahoma"/>
                <w:color w:val="000000" w:themeColor="text1"/>
                <w:szCs w:val="18"/>
              </w:rPr>
            </w:pPr>
            <w:r w:rsidRPr="000503BB">
              <w:rPr>
                <w:rFonts w:cs="Tahoma"/>
                <w:color w:val="000000" w:themeColor="text1"/>
                <w:szCs w:val="18"/>
              </w:rPr>
              <w:t>1 </w:t>
            </w:r>
            <w:r w:rsidR="00DB4CBC">
              <w:rPr>
                <w:rFonts w:cs="Tahoma"/>
                <w:color w:val="000000" w:themeColor="text1"/>
                <w:szCs w:val="18"/>
              </w:rPr>
              <w:t>820907</w:t>
            </w:r>
          </w:p>
        </w:tc>
      </w:tr>
      <w:tr w:rsidR="000503BB" w:rsidRPr="000503BB" w14:paraId="63E950C2" w14:textId="77777777" w:rsidTr="002A1038">
        <w:tc>
          <w:tcPr>
            <w:tcW w:w="3085" w:type="dxa"/>
            <w:tcBorders>
              <w:bottom w:val="single" w:sz="4" w:space="0" w:color="auto"/>
            </w:tcBorders>
          </w:tcPr>
          <w:p w14:paraId="0EF008B7" w14:textId="3CE9F655" w:rsidR="000D1B1F" w:rsidRPr="000503BB" w:rsidRDefault="007D0263" w:rsidP="001D0A5A">
            <w:pPr>
              <w:spacing w:after="0"/>
              <w:rPr>
                <w:rFonts w:cs="Tahoma"/>
                <w:color w:val="000000" w:themeColor="text1"/>
                <w:szCs w:val="18"/>
              </w:rPr>
            </w:pPr>
            <w:r w:rsidRPr="000503BB">
              <w:rPr>
                <w:rFonts w:cs="Tahoma"/>
                <w:color w:val="000000" w:themeColor="text1"/>
                <w:szCs w:val="18"/>
              </w:rPr>
              <w:t>Siguldas</w:t>
            </w:r>
            <w:r w:rsidR="00FB7158" w:rsidRPr="000503BB">
              <w:rPr>
                <w:rFonts w:cs="Tahoma"/>
                <w:color w:val="000000" w:themeColor="text1"/>
                <w:szCs w:val="18"/>
              </w:rPr>
              <w:t xml:space="preserve"> novada </w:t>
            </w:r>
            <w:r w:rsidR="001D0A5A" w:rsidRPr="000503BB">
              <w:rPr>
                <w:rFonts w:cs="Tahoma"/>
                <w:color w:val="000000" w:themeColor="text1"/>
                <w:szCs w:val="18"/>
              </w:rPr>
              <w:t>dome</w:t>
            </w:r>
          </w:p>
        </w:tc>
        <w:tc>
          <w:tcPr>
            <w:tcW w:w="1276" w:type="dxa"/>
            <w:tcBorders>
              <w:bottom w:val="single" w:sz="4" w:space="0" w:color="auto"/>
            </w:tcBorders>
          </w:tcPr>
          <w:p w14:paraId="298B0DA7" w14:textId="77777777" w:rsidR="000D1B1F" w:rsidRPr="000503BB" w:rsidRDefault="00FB7158" w:rsidP="00FB7158">
            <w:pPr>
              <w:spacing w:after="0"/>
              <w:jc w:val="right"/>
              <w:rPr>
                <w:rFonts w:cs="Tahoma"/>
                <w:color w:val="000000" w:themeColor="text1"/>
                <w:szCs w:val="18"/>
              </w:rPr>
            </w:pPr>
            <w:r w:rsidRPr="000503BB">
              <w:rPr>
                <w:rFonts w:cs="Tahoma"/>
                <w:color w:val="000000" w:themeColor="text1"/>
                <w:szCs w:val="18"/>
              </w:rPr>
              <w:t>77 617</w:t>
            </w:r>
          </w:p>
        </w:tc>
        <w:tc>
          <w:tcPr>
            <w:tcW w:w="1843" w:type="dxa"/>
            <w:tcBorders>
              <w:bottom w:val="single" w:sz="4" w:space="0" w:color="auto"/>
            </w:tcBorders>
          </w:tcPr>
          <w:p w14:paraId="569789D9" w14:textId="77777777" w:rsidR="000D1B1F" w:rsidRPr="000503BB" w:rsidRDefault="00FB7158" w:rsidP="00FB7158">
            <w:pPr>
              <w:spacing w:after="0"/>
              <w:jc w:val="center"/>
              <w:rPr>
                <w:rFonts w:cs="Tahoma"/>
                <w:color w:val="000000" w:themeColor="text1"/>
                <w:szCs w:val="18"/>
              </w:rPr>
            </w:pPr>
            <w:r w:rsidRPr="000503BB">
              <w:rPr>
                <w:rFonts w:cs="Tahoma"/>
                <w:color w:val="000000" w:themeColor="text1"/>
                <w:szCs w:val="18"/>
              </w:rPr>
              <w:t>1</w:t>
            </w:r>
          </w:p>
        </w:tc>
        <w:tc>
          <w:tcPr>
            <w:tcW w:w="1417" w:type="dxa"/>
            <w:tcBorders>
              <w:bottom w:val="single" w:sz="4" w:space="0" w:color="auto"/>
            </w:tcBorders>
          </w:tcPr>
          <w:p w14:paraId="0E901CEE" w14:textId="5A9AE07E" w:rsidR="000D1B1F" w:rsidRPr="000503BB" w:rsidRDefault="0047544E" w:rsidP="009D6C56">
            <w:pPr>
              <w:spacing w:after="0"/>
              <w:jc w:val="right"/>
              <w:rPr>
                <w:rFonts w:cs="Tahoma"/>
                <w:color w:val="000000" w:themeColor="text1"/>
                <w:szCs w:val="18"/>
              </w:rPr>
            </w:pPr>
            <w:r w:rsidRPr="000503BB">
              <w:rPr>
                <w:rFonts w:cs="Tahoma"/>
                <w:color w:val="000000" w:themeColor="text1"/>
                <w:szCs w:val="18"/>
              </w:rPr>
              <w:t>4.</w:t>
            </w:r>
            <w:r w:rsidR="00DB4CBC">
              <w:rPr>
                <w:rFonts w:cs="Tahoma"/>
                <w:color w:val="000000" w:themeColor="text1"/>
                <w:szCs w:val="18"/>
              </w:rPr>
              <w:t>08828</w:t>
            </w:r>
          </w:p>
        </w:tc>
        <w:tc>
          <w:tcPr>
            <w:tcW w:w="1559" w:type="dxa"/>
            <w:tcBorders>
              <w:bottom w:val="single" w:sz="4" w:space="0" w:color="auto"/>
            </w:tcBorders>
          </w:tcPr>
          <w:p w14:paraId="49B29ACC" w14:textId="77777777" w:rsidR="000D1B1F" w:rsidRPr="000503BB" w:rsidRDefault="00FB7158" w:rsidP="00FB7158">
            <w:pPr>
              <w:spacing w:after="0"/>
              <w:jc w:val="right"/>
              <w:rPr>
                <w:rFonts w:cs="Tahoma"/>
                <w:color w:val="000000" w:themeColor="text1"/>
                <w:szCs w:val="18"/>
              </w:rPr>
            </w:pPr>
            <w:r w:rsidRPr="000503BB">
              <w:rPr>
                <w:rFonts w:cs="Tahoma"/>
                <w:color w:val="000000" w:themeColor="text1"/>
                <w:szCs w:val="18"/>
              </w:rPr>
              <w:t>77 617</w:t>
            </w:r>
          </w:p>
        </w:tc>
      </w:tr>
      <w:tr w:rsidR="000503BB" w:rsidRPr="000503BB" w14:paraId="5EED89CA" w14:textId="77777777" w:rsidTr="002A1038">
        <w:tc>
          <w:tcPr>
            <w:tcW w:w="3085" w:type="dxa"/>
            <w:tcBorders>
              <w:top w:val="single" w:sz="4" w:space="0" w:color="auto"/>
              <w:bottom w:val="double" w:sz="4" w:space="0" w:color="auto"/>
            </w:tcBorders>
          </w:tcPr>
          <w:p w14:paraId="08CC1BB7" w14:textId="77777777" w:rsidR="000D1B1F" w:rsidRPr="000503BB" w:rsidRDefault="00FB7158" w:rsidP="000D1B1F">
            <w:pPr>
              <w:spacing w:after="0"/>
              <w:jc w:val="both"/>
              <w:rPr>
                <w:rFonts w:cs="Tahoma"/>
                <w:b/>
                <w:color w:val="000000" w:themeColor="text1"/>
                <w:szCs w:val="18"/>
              </w:rPr>
            </w:pPr>
            <w:r w:rsidRPr="000503BB">
              <w:rPr>
                <w:rFonts w:cs="Tahoma"/>
                <w:b/>
                <w:color w:val="000000" w:themeColor="text1"/>
                <w:szCs w:val="18"/>
              </w:rPr>
              <w:t>Kopā</w:t>
            </w:r>
          </w:p>
        </w:tc>
        <w:tc>
          <w:tcPr>
            <w:tcW w:w="1276" w:type="dxa"/>
            <w:tcBorders>
              <w:top w:val="single" w:sz="4" w:space="0" w:color="auto"/>
              <w:bottom w:val="double" w:sz="4" w:space="0" w:color="auto"/>
            </w:tcBorders>
          </w:tcPr>
          <w:p w14:paraId="194FEAEA" w14:textId="07A43F7A" w:rsidR="000D1B1F" w:rsidRPr="000503BB" w:rsidRDefault="00FB7158" w:rsidP="005F016F">
            <w:pPr>
              <w:spacing w:after="0"/>
              <w:jc w:val="right"/>
              <w:rPr>
                <w:rFonts w:cs="Tahoma"/>
                <w:b/>
                <w:color w:val="000000" w:themeColor="text1"/>
                <w:szCs w:val="18"/>
              </w:rPr>
            </w:pPr>
            <w:r w:rsidRPr="000503BB">
              <w:rPr>
                <w:rFonts w:cs="Tahoma"/>
                <w:b/>
                <w:color w:val="000000" w:themeColor="text1"/>
                <w:szCs w:val="18"/>
              </w:rPr>
              <w:t>1 8</w:t>
            </w:r>
            <w:r w:rsidR="00DB4CBC">
              <w:rPr>
                <w:rFonts w:cs="Tahoma"/>
                <w:b/>
                <w:color w:val="000000" w:themeColor="text1"/>
                <w:szCs w:val="18"/>
              </w:rPr>
              <w:t>98524</w:t>
            </w:r>
          </w:p>
        </w:tc>
        <w:tc>
          <w:tcPr>
            <w:tcW w:w="1843" w:type="dxa"/>
            <w:tcBorders>
              <w:top w:val="single" w:sz="4" w:space="0" w:color="auto"/>
              <w:bottom w:val="double" w:sz="4" w:space="0" w:color="auto"/>
            </w:tcBorders>
          </w:tcPr>
          <w:p w14:paraId="29F3C5A9" w14:textId="77777777" w:rsidR="000D1B1F" w:rsidRPr="000503BB" w:rsidRDefault="00FB7158" w:rsidP="00FB7158">
            <w:pPr>
              <w:spacing w:after="0"/>
              <w:jc w:val="center"/>
              <w:rPr>
                <w:rFonts w:cs="Tahoma"/>
                <w:b/>
                <w:color w:val="000000" w:themeColor="text1"/>
                <w:szCs w:val="18"/>
              </w:rPr>
            </w:pPr>
            <w:r w:rsidRPr="000503BB">
              <w:rPr>
                <w:rFonts w:cs="Tahoma"/>
                <w:b/>
                <w:color w:val="000000" w:themeColor="text1"/>
                <w:szCs w:val="18"/>
              </w:rPr>
              <w:t>1</w:t>
            </w:r>
          </w:p>
        </w:tc>
        <w:tc>
          <w:tcPr>
            <w:tcW w:w="1417" w:type="dxa"/>
            <w:tcBorders>
              <w:top w:val="single" w:sz="4" w:space="0" w:color="auto"/>
              <w:bottom w:val="double" w:sz="4" w:space="0" w:color="auto"/>
            </w:tcBorders>
          </w:tcPr>
          <w:p w14:paraId="07F2B625" w14:textId="77777777" w:rsidR="000D1B1F" w:rsidRPr="000503BB" w:rsidRDefault="00FB7158" w:rsidP="00FB7158">
            <w:pPr>
              <w:spacing w:after="0"/>
              <w:jc w:val="right"/>
              <w:rPr>
                <w:rFonts w:cs="Tahoma"/>
                <w:b/>
                <w:color w:val="000000" w:themeColor="text1"/>
                <w:szCs w:val="18"/>
              </w:rPr>
            </w:pPr>
            <w:r w:rsidRPr="000503BB">
              <w:rPr>
                <w:rFonts w:cs="Tahoma"/>
                <w:b/>
                <w:color w:val="000000" w:themeColor="text1"/>
                <w:szCs w:val="18"/>
              </w:rPr>
              <w:t>100.00</w:t>
            </w:r>
          </w:p>
        </w:tc>
        <w:tc>
          <w:tcPr>
            <w:tcW w:w="1559" w:type="dxa"/>
            <w:tcBorders>
              <w:top w:val="single" w:sz="4" w:space="0" w:color="auto"/>
              <w:bottom w:val="double" w:sz="4" w:space="0" w:color="auto"/>
            </w:tcBorders>
          </w:tcPr>
          <w:p w14:paraId="05426371" w14:textId="5FBF35C2" w:rsidR="000D1B1F" w:rsidRPr="000503BB" w:rsidRDefault="00FB7158" w:rsidP="005F016F">
            <w:pPr>
              <w:spacing w:after="0"/>
              <w:jc w:val="right"/>
              <w:rPr>
                <w:rFonts w:cs="Tahoma"/>
                <w:b/>
                <w:color w:val="000000" w:themeColor="text1"/>
                <w:szCs w:val="18"/>
              </w:rPr>
            </w:pPr>
            <w:r w:rsidRPr="000503BB">
              <w:rPr>
                <w:rFonts w:cs="Tahoma"/>
                <w:b/>
                <w:color w:val="000000" w:themeColor="text1"/>
                <w:szCs w:val="18"/>
              </w:rPr>
              <w:t>1 8</w:t>
            </w:r>
            <w:r w:rsidR="00DB4CBC">
              <w:rPr>
                <w:rFonts w:cs="Tahoma"/>
                <w:b/>
                <w:color w:val="000000" w:themeColor="text1"/>
                <w:szCs w:val="18"/>
              </w:rPr>
              <w:t>98524</w:t>
            </w:r>
          </w:p>
        </w:tc>
      </w:tr>
    </w:tbl>
    <w:p w14:paraId="6F8A469D" w14:textId="0EA64A96" w:rsidR="00897CD6" w:rsidRPr="00A84647" w:rsidRDefault="00897CD6" w:rsidP="00897CD6">
      <w:pPr>
        <w:jc w:val="both"/>
        <w:rPr>
          <w:rFonts w:cs="Tahoma"/>
          <w:b/>
          <w:szCs w:val="18"/>
        </w:rPr>
      </w:pPr>
      <w:r w:rsidRPr="00A84647">
        <w:rPr>
          <w:rFonts w:cs="Tahoma"/>
          <w:b/>
          <w:szCs w:val="18"/>
        </w:rPr>
        <w:t>Notikumi pēc bilances datuma</w:t>
      </w:r>
    </w:p>
    <w:p w14:paraId="26C3F52A" w14:textId="77777777" w:rsidR="00897CD6" w:rsidRPr="00E81D83" w:rsidRDefault="00897CD6" w:rsidP="00897CD6">
      <w:pPr>
        <w:jc w:val="both"/>
        <w:rPr>
          <w:rFonts w:cs="Tahoma"/>
          <w:color w:val="000000" w:themeColor="text1"/>
          <w:szCs w:val="18"/>
        </w:rPr>
      </w:pPr>
      <w:r w:rsidRPr="00E81D83">
        <w:rPr>
          <w:rFonts w:cs="Tahoma"/>
          <w:color w:val="000000" w:themeColor="text1"/>
          <w:szCs w:val="18"/>
        </w:rPr>
        <w:t>Laika posmā no pārskata gada pēdējās dienas līdz šī finanšu pārskata parakstīšanas datumam nav bijuši nekādi  notikumi, kuru rezultātā šajā finanšu pārskatā būtu jāveic korekcijas vai jāatklāj papildus informācija.</w:t>
      </w:r>
    </w:p>
    <w:p w14:paraId="0411D0B8" w14:textId="3CBBB6CD" w:rsidR="001D0A5A" w:rsidRDefault="001D0A5A" w:rsidP="00D32BDF">
      <w:pPr>
        <w:spacing w:before="120" w:after="120"/>
        <w:jc w:val="both"/>
        <w:rPr>
          <w:rFonts w:cs="Tahoma"/>
          <w:b/>
          <w:color w:val="FF0000"/>
          <w:szCs w:val="18"/>
        </w:rPr>
      </w:pPr>
    </w:p>
    <w:p w14:paraId="0860A6CD" w14:textId="7EEBAF28" w:rsidR="00DD2E5C" w:rsidRDefault="00DD2E5C" w:rsidP="00D32BDF">
      <w:pPr>
        <w:spacing w:before="120" w:after="120"/>
        <w:jc w:val="both"/>
        <w:rPr>
          <w:rFonts w:cs="Tahoma"/>
          <w:b/>
          <w:color w:val="FF0000"/>
          <w:szCs w:val="18"/>
        </w:rPr>
      </w:pPr>
    </w:p>
    <w:sectPr w:rsidR="00DD2E5C" w:rsidSect="002C254E">
      <w:headerReference w:type="default" r:id="rId22"/>
      <w:footerReference w:type="default" r:id="rId23"/>
      <w:pgSz w:w="11906" w:h="16838"/>
      <w:pgMar w:top="1440" w:right="1440" w:bottom="142" w:left="144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5DD79" w14:textId="77777777" w:rsidR="00003292" w:rsidRDefault="00003292" w:rsidP="0064306F">
      <w:pPr>
        <w:spacing w:after="0" w:line="240" w:lineRule="auto"/>
      </w:pPr>
      <w:r>
        <w:separator/>
      </w:r>
    </w:p>
  </w:endnote>
  <w:endnote w:type="continuationSeparator" w:id="0">
    <w:p w14:paraId="15C6A2B4" w14:textId="77777777" w:rsidR="00003292" w:rsidRDefault="00003292" w:rsidP="006430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Narrow">
    <w:panose1 w:val="020B0606020202030204"/>
    <w:charset w:val="BA"/>
    <w:family w:val="swiss"/>
    <w:pitch w:val="variable"/>
    <w:sig w:usb0="00000287" w:usb1="00000800" w:usb2="00000000" w:usb3="00000000" w:csb0="0000009F" w:csb1="00000000"/>
  </w:font>
  <w:font w:name="Mangal">
    <w:altName w:val="Nirmala UI"/>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BA"/>
    <w:family w:val="swiss"/>
    <w:pitch w:val="variable"/>
    <w:sig w:usb0="E0002EFF" w:usb1="C000785B" w:usb2="00000009" w:usb3="00000000" w:csb0="000001FF" w:csb1="00000000"/>
  </w:font>
  <w:font w:name="CG Times">
    <w:charset w:val="00"/>
    <w:family w:val="roman"/>
    <w:pitch w:val="variable"/>
    <w:sig w:usb0="00000003" w:usb1="00000000" w:usb2="00000000" w:usb3="00000000" w:csb0="00000001" w:csb1="00000000"/>
  </w:font>
  <w:font w:name="Cambria Math">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9668392"/>
      <w:docPartObj>
        <w:docPartGallery w:val="Page Numbers (Bottom of Page)"/>
        <w:docPartUnique/>
      </w:docPartObj>
    </w:sdtPr>
    <w:sdtEndPr>
      <w:rPr>
        <w:noProof/>
      </w:rPr>
    </w:sdtEndPr>
    <w:sdtContent>
      <w:p w14:paraId="5DE21A63" w14:textId="77777777" w:rsidR="00C86299" w:rsidRDefault="00C86299">
        <w:pPr>
          <w:pStyle w:val="Kjene"/>
          <w:jc w:val="right"/>
        </w:pPr>
        <w:r>
          <w:fldChar w:fldCharType="begin"/>
        </w:r>
        <w:r>
          <w:instrText xml:space="preserve"> PAGE   \* MERGEFORMAT </w:instrText>
        </w:r>
        <w:r>
          <w:fldChar w:fldCharType="separate"/>
        </w:r>
        <w:r w:rsidR="00825269">
          <w:rPr>
            <w:noProof/>
          </w:rPr>
          <w:t>29</w:t>
        </w:r>
        <w:r>
          <w:rPr>
            <w:noProof/>
          </w:rPr>
          <w:fldChar w:fldCharType="end"/>
        </w:r>
      </w:p>
    </w:sdtContent>
  </w:sdt>
  <w:p w14:paraId="461B4399" w14:textId="77777777" w:rsidR="00C86299" w:rsidRDefault="00C8629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B3B15" w14:textId="77777777" w:rsidR="00003292" w:rsidRDefault="00003292" w:rsidP="0064306F">
      <w:pPr>
        <w:spacing w:after="0" w:line="240" w:lineRule="auto"/>
      </w:pPr>
      <w:r>
        <w:separator/>
      </w:r>
    </w:p>
  </w:footnote>
  <w:footnote w:type="continuationSeparator" w:id="0">
    <w:p w14:paraId="634FDD2F" w14:textId="77777777" w:rsidR="00003292" w:rsidRDefault="00003292" w:rsidP="006430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41100" w14:textId="0301DC88" w:rsidR="00C86299" w:rsidRPr="00887DB2" w:rsidRDefault="00C86299" w:rsidP="00A84647">
    <w:pPr>
      <w:pStyle w:val="Galvene"/>
      <w:spacing w:after="0" w:line="240" w:lineRule="auto"/>
      <w:jc w:val="center"/>
      <w:rPr>
        <w:rFonts w:cs="Tahoma"/>
        <w:color w:val="575756"/>
        <w:sz w:val="14"/>
        <w:szCs w:val="14"/>
        <w:lang w:val="en-GB"/>
      </w:rPr>
    </w:pPr>
    <w:r w:rsidRPr="00B411E7">
      <w:rPr>
        <w:b/>
        <w:bCs/>
        <w:noProof/>
      </w:rPr>
      <w:drawing>
        <wp:anchor distT="0" distB="0" distL="114300" distR="114300" simplePos="0" relativeHeight="251657728" behindDoc="1" locked="0" layoutInCell="1" allowOverlap="1" wp14:anchorId="3B592012" wp14:editId="6530355E">
          <wp:simplePos x="0" y="0"/>
          <wp:positionH relativeFrom="column">
            <wp:posOffset>4719955</wp:posOffset>
          </wp:positionH>
          <wp:positionV relativeFrom="paragraph">
            <wp:posOffset>-139065</wp:posOffset>
          </wp:positionV>
          <wp:extent cx="791845" cy="697230"/>
          <wp:effectExtent l="0" t="0" r="8255" b="0"/>
          <wp:wrapTight wrapText="bothSides">
            <wp:wrapPolygon edited="0">
              <wp:start x="3638" y="1180"/>
              <wp:lineTo x="1559" y="4131"/>
              <wp:lineTo x="520" y="7672"/>
              <wp:lineTo x="0" y="15344"/>
              <wp:lineTo x="0" y="19475"/>
              <wp:lineTo x="7795" y="20656"/>
              <wp:lineTo x="10393" y="20656"/>
              <wp:lineTo x="14030" y="19475"/>
              <wp:lineTo x="21306" y="14164"/>
              <wp:lineTo x="21306" y="10033"/>
              <wp:lineTo x="14550" y="1180"/>
              <wp:lineTo x="3638" y="1180"/>
            </wp:wrapPolygon>
          </wp:wrapTight>
          <wp:docPr id="8"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Users\user_2\Desktop\logo-tv-logo.png"/>
                  <pic:cNvPicPr>
                    <a:picLocks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845" cy="697230"/>
                  </a:xfrm>
                  <a:prstGeom prst="rect">
                    <a:avLst/>
                  </a:prstGeom>
                  <a:noFill/>
                  <a:ln>
                    <a:noFill/>
                  </a:ln>
                </pic:spPr>
              </pic:pic>
            </a:graphicData>
          </a:graphic>
          <wp14:sizeRelH relativeFrom="page">
            <wp14:pctWidth>0</wp14:pctWidth>
          </wp14:sizeRelH>
          <wp14:sizeRelV relativeFrom="page">
            <wp14:pctHeight>0</wp14:pctHeight>
          </wp14:sizeRelV>
        </wp:anchor>
      </w:drawing>
    </w:r>
    <w:r w:rsidR="00B411E7" w:rsidRPr="00B411E7">
      <w:rPr>
        <w:rFonts w:cs="Tahoma"/>
        <w:b/>
        <w:bCs/>
        <w:color w:val="575756"/>
        <w:sz w:val="14"/>
        <w:szCs w:val="14"/>
        <w:lang w:val="en-GB"/>
      </w:rPr>
      <w:t>OPERATĪVAIS</w:t>
    </w:r>
    <w:r w:rsidR="00C41FD7">
      <w:rPr>
        <w:rFonts w:cs="Tahoma"/>
        <w:b/>
        <w:bCs/>
        <w:color w:val="575756"/>
        <w:sz w:val="14"/>
        <w:szCs w:val="14"/>
        <w:lang w:val="en-GB"/>
      </w:rPr>
      <w:t xml:space="preserve"> </w:t>
    </w:r>
    <w:r>
      <w:rPr>
        <w:rFonts w:cs="Tahoma"/>
        <w:color w:val="575756"/>
        <w:sz w:val="14"/>
        <w:szCs w:val="14"/>
        <w:lang w:val="en-GB"/>
      </w:rPr>
      <w:t>Sabiedrība ar ierobežotu atbildību “Limbažu slimnīca”</w:t>
    </w:r>
    <w:r w:rsidRPr="00B15DF8">
      <w:rPr>
        <w:noProof/>
      </w:rPr>
      <w:t xml:space="preserve"> </w:t>
    </w:r>
  </w:p>
  <w:p w14:paraId="1C9CDCF5" w14:textId="77777777" w:rsidR="00C86299" w:rsidRDefault="00C86299" w:rsidP="00A84647">
    <w:pPr>
      <w:pStyle w:val="Galvene"/>
      <w:spacing w:after="0" w:line="240" w:lineRule="auto"/>
      <w:jc w:val="center"/>
      <w:rPr>
        <w:rFonts w:cs="Tahoma"/>
        <w:color w:val="575756"/>
        <w:sz w:val="14"/>
        <w:szCs w:val="14"/>
        <w:lang w:val="en-GB"/>
      </w:rPr>
    </w:pPr>
    <w:r>
      <w:rPr>
        <w:rFonts w:cs="Tahoma"/>
        <w:color w:val="575756"/>
        <w:sz w:val="14"/>
        <w:szCs w:val="14"/>
        <w:lang w:val="en-GB"/>
      </w:rPr>
      <w:t>reģ. Nr. 40003361616</w:t>
    </w:r>
  </w:p>
  <w:p w14:paraId="48D56013" w14:textId="783864AD" w:rsidR="00C86299" w:rsidRDefault="00C86299" w:rsidP="00A84647">
    <w:pPr>
      <w:pStyle w:val="Galvene"/>
      <w:spacing w:after="0" w:line="240" w:lineRule="auto"/>
      <w:jc w:val="center"/>
      <w:rPr>
        <w:rFonts w:cs="Tahoma"/>
        <w:color w:val="575756"/>
        <w:sz w:val="14"/>
        <w:szCs w:val="14"/>
        <w:lang w:val="en-GB"/>
      </w:rPr>
    </w:pPr>
    <w:r>
      <w:rPr>
        <w:rFonts w:cs="Tahoma"/>
        <w:color w:val="575756"/>
        <w:sz w:val="14"/>
        <w:szCs w:val="14"/>
        <w:lang w:val="en-GB"/>
      </w:rPr>
      <w:t xml:space="preserve">Klostera iela 3, Limbaži, </w:t>
    </w:r>
    <w:r w:rsidR="007F7069" w:rsidRPr="00544870">
      <w:rPr>
        <w:rFonts w:cs="Tahoma"/>
        <w:color w:val="575756"/>
        <w:sz w:val="14"/>
        <w:szCs w:val="14"/>
        <w:lang w:val="en-GB"/>
      </w:rPr>
      <w:t>Limbažu nov.,</w:t>
    </w:r>
    <w:r w:rsidR="007F7069" w:rsidRPr="007F7069">
      <w:rPr>
        <w:rFonts w:cs="Tahoma"/>
        <w:color w:val="575756"/>
        <w:sz w:val="14"/>
        <w:szCs w:val="14"/>
        <w:lang w:val="en-GB"/>
      </w:rPr>
      <w:t xml:space="preserve"> </w:t>
    </w:r>
    <w:r>
      <w:rPr>
        <w:rFonts w:cs="Tahoma"/>
        <w:color w:val="575756"/>
        <w:sz w:val="14"/>
        <w:szCs w:val="14"/>
        <w:lang w:val="en-GB"/>
      </w:rPr>
      <w:t>LV 4001</w:t>
    </w:r>
  </w:p>
  <w:p w14:paraId="3CD384CE" w14:textId="17CBDD9F" w:rsidR="00C86299" w:rsidRPr="00887DB2" w:rsidRDefault="00C86299" w:rsidP="00A84647">
    <w:pPr>
      <w:pStyle w:val="Galvene"/>
      <w:spacing w:after="0" w:line="240" w:lineRule="auto"/>
      <w:jc w:val="center"/>
      <w:rPr>
        <w:rFonts w:cs="Tahoma"/>
        <w:color w:val="575756"/>
        <w:sz w:val="14"/>
        <w:szCs w:val="14"/>
        <w:lang w:val="en-GB"/>
      </w:rPr>
    </w:pPr>
    <w:r>
      <w:rPr>
        <w:rFonts w:cs="Tahoma"/>
        <w:color w:val="575756"/>
        <w:sz w:val="14"/>
        <w:szCs w:val="14"/>
        <w:lang w:val="en-GB"/>
      </w:rPr>
      <w:t>202</w:t>
    </w:r>
    <w:r w:rsidR="00B411E7">
      <w:rPr>
        <w:rFonts w:cs="Tahoma"/>
        <w:color w:val="575756"/>
        <w:sz w:val="14"/>
        <w:szCs w:val="14"/>
        <w:lang w:val="en-GB"/>
      </w:rPr>
      <w:t>2</w:t>
    </w:r>
    <w:r>
      <w:rPr>
        <w:rFonts w:cs="Tahoma"/>
        <w:color w:val="575756"/>
        <w:sz w:val="14"/>
        <w:szCs w:val="14"/>
        <w:lang w:val="en-GB"/>
      </w:rPr>
      <w:t>. gada</w:t>
    </w:r>
    <w:r w:rsidR="00C41FD7">
      <w:rPr>
        <w:rFonts w:cs="Tahoma"/>
        <w:color w:val="575756"/>
        <w:sz w:val="14"/>
        <w:szCs w:val="14"/>
        <w:lang w:val="en-GB"/>
      </w:rPr>
      <w:t xml:space="preserve"> 2. ceturkšņa</w:t>
    </w:r>
    <w:r>
      <w:rPr>
        <w:rFonts w:cs="Tahoma"/>
        <w:color w:val="575756"/>
        <w:sz w:val="14"/>
        <w:szCs w:val="14"/>
        <w:lang w:val="en-GB"/>
      </w:rPr>
      <w:t xml:space="preserve"> pārskats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659FD"/>
    <w:multiLevelType w:val="hybridMultilevel"/>
    <w:tmpl w:val="5C2436BA"/>
    <w:lvl w:ilvl="0" w:tplc="0426000F">
      <w:start w:val="2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B590198"/>
    <w:multiLevelType w:val="hybridMultilevel"/>
    <w:tmpl w:val="D9146824"/>
    <w:lvl w:ilvl="0" w:tplc="C34A7DA6">
      <w:start w:val="4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E5573E7"/>
    <w:multiLevelType w:val="hybridMultilevel"/>
    <w:tmpl w:val="715656BA"/>
    <w:lvl w:ilvl="0" w:tplc="E72AE87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E673240"/>
    <w:multiLevelType w:val="hybridMultilevel"/>
    <w:tmpl w:val="EB0024D2"/>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1BB6900"/>
    <w:multiLevelType w:val="hybridMultilevel"/>
    <w:tmpl w:val="C27EE458"/>
    <w:lvl w:ilvl="0" w:tplc="B420B340">
      <w:start w:val="1"/>
      <w:numFmt w:val="decimal"/>
      <w:lvlText w:val="%1."/>
      <w:lvlJc w:val="left"/>
      <w:pPr>
        <w:ind w:left="720" w:hanging="360"/>
      </w:pPr>
      <w:rPr>
        <w:rFonts w:ascii="Tahoma" w:hAnsi="Tahoma" w:cs="Tahoma" w:hint="default"/>
        <w:b/>
        <w:sz w:val="18"/>
        <w:szCs w:val="1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77C2DA7"/>
    <w:multiLevelType w:val="hybridMultilevel"/>
    <w:tmpl w:val="6960FFB8"/>
    <w:lvl w:ilvl="0" w:tplc="96A01150">
      <w:start w:val="3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9033BF9"/>
    <w:multiLevelType w:val="hybridMultilevel"/>
    <w:tmpl w:val="D630786E"/>
    <w:lvl w:ilvl="0" w:tplc="A476D624">
      <w:start w:val="3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9A46904"/>
    <w:multiLevelType w:val="hybridMultilevel"/>
    <w:tmpl w:val="5D04EE78"/>
    <w:lvl w:ilvl="0" w:tplc="57E0879E">
      <w:start w:val="65"/>
      <w:numFmt w:val="decimal"/>
      <w:lvlText w:val="%1"/>
      <w:lvlJc w:val="left"/>
      <w:pPr>
        <w:ind w:left="720" w:hanging="360"/>
      </w:pPr>
      <w:rPr>
        <w:rFonts w:hint="default"/>
        <w:color w:val="0070C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33D1089"/>
    <w:multiLevelType w:val="hybridMultilevel"/>
    <w:tmpl w:val="2ED29CB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68D3ADD"/>
    <w:multiLevelType w:val="hybridMultilevel"/>
    <w:tmpl w:val="AF7827AA"/>
    <w:lvl w:ilvl="0" w:tplc="2506BFFC">
      <w:start w:val="11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1DC1109"/>
    <w:multiLevelType w:val="hybridMultilevel"/>
    <w:tmpl w:val="94F62778"/>
    <w:lvl w:ilvl="0" w:tplc="0426000F">
      <w:start w:val="1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A2271AD"/>
    <w:multiLevelType w:val="hybridMultilevel"/>
    <w:tmpl w:val="8892C3CE"/>
    <w:lvl w:ilvl="0" w:tplc="2E0CFCD2">
      <w:start w:val="16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D8C573F"/>
    <w:multiLevelType w:val="hybridMultilevel"/>
    <w:tmpl w:val="58E4988E"/>
    <w:lvl w:ilvl="0" w:tplc="24423BF4">
      <w:start w:val="25"/>
      <w:numFmt w:val="decimal"/>
      <w:lvlText w:val="%1."/>
      <w:lvlJc w:val="left"/>
      <w:pPr>
        <w:ind w:left="720" w:hanging="360"/>
      </w:pPr>
      <w:rPr>
        <w:rFonts w:ascii="Tahoma" w:hAnsi="Tahoma" w:cs="Tahoma"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13A5C24"/>
    <w:multiLevelType w:val="hybridMultilevel"/>
    <w:tmpl w:val="AA6ECE64"/>
    <w:lvl w:ilvl="0" w:tplc="B9FA4F5A">
      <w:start w:val="3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88F29D7"/>
    <w:multiLevelType w:val="hybridMultilevel"/>
    <w:tmpl w:val="0CFC6CCC"/>
    <w:lvl w:ilvl="0" w:tplc="45C06442">
      <w:start w:val="1"/>
      <w:numFmt w:val="bullet"/>
      <w:lvlText w:val=""/>
      <w:lvlJc w:val="left"/>
      <w:pPr>
        <w:tabs>
          <w:tab w:val="num" w:pos="1800"/>
        </w:tabs>
        <w:ind w:left="1800" w:hanging="360"/>
      </w:pPr>
      <w:rPr>
        <w:rFonts w:ascii="Symbol" w:hAnsi="Symbol" w:hint="default"/>
        <w:sz w:val="22"/>
        <w:szCs w:val="22"/>
      </w:rPr>
    </w:lvl>
    <w:lvl w:ilvl="1" w:tplc="04260003" w:tentative="1">
      <w:start w:val="1"/>
      <w:numFmt w:val="bullet"/>
      <w:lvlText w:val="o"/>
      <w:lvlJc w:val="left"/>
      <w:pPr>
        <w:tabs>
          <w:tab w:val="num" w:pos="2520"/>
        </w:tabs>
        <w:ind w:left="2520" w:hanging="360"/>
      </w:pPr>
      <w:rPr>
        <w:rFonts w:ascii="Courier New" w:hAnsi="Courier New" w:cs="Courier New" w:hint="default"/>
      </w:rPr>
    </w:lvl>
    <w:lvl w:ilvl="2" w:tplc="04260005" w:tentative="1">
      <w:start w:val="1"/>
      <w:numFmt w:val="bullet"/>
      <w:lvlText w:val=""/>
      <w:lvlJc w:val="left"/>
      <w:pPr>
        <w:tabs>
          <w:tab w:val="num" w:pos="3240"/>
        </w:tabs>
        <w:ind w:left="3240" w:hanging="360"/>
      </w:pPr>
      <w:rPr>
        <w:rFonts w:ascii="Wingdings" w:hAnsi="Wingdings" w:hint="default"/>
      </w:rPr>
    </w:lvl>
    <w:lvl w:ilvl="3" w:tplc="04260001" w:tentative="1">
      <w:start w:val="1"/>
      <w:numFmt w:val="bullet"/>
      <w:lvlText w:val=""/>
      <w:lvlJc w:val="left"/>
      <w:pPr>
        <w:tabs>
          <w:tab w:val="num" w:pos="3960"/>
        </w:tabs>
        <w:ind w:left="3960" w:hanging="360"/>
      </w:pPr>
      <w:rPr>
        <w:rFonts w:ascii="Symbol" w:hAnsi="Symbol" w:hint="default"/>
      </w:rPr>
    </w:lvl>
    <w:lvl w:ilvl="4" w:tplc="04260003" w:tentative="1">
      <w:start w:val="1"/>
      <w:numFmt w:val="bullet"/>
      <w:lvlText w:val="o"/>
      <w:lvlJc w:val="left"/>
      <w:pPr>
        <w:tabs>
          <w:tab w:val="num" w:pos="4680"/>
        </w:tabs>
        <w:ind w:left="4680" w:hanging="360"/>
      </w:pPr>
      <w:rPr>
        <w:rFonts w:ascii="Courier New" w:hAnsi="Courier New" w:cs="Courier New" w:hint="default"/>
      </w:rPr>
    </w:lvl>
    <w:lvl w:ilvl="5" w:tplc="04260005" w:tentative="1">
      <w:start w:val="1"/>
      <w:numFmt w:val="bullet"/>
      <w:lvlText w:val=""/>
      <w:lvlJc w:val="left"/>
      <w:pPr>
        <w:tabs>
          <w:tab w:val="num" w:pos="5400"/>
        </w:tabs>
        <w:ind w:left="5400" w:hanging="360"/>
      </w:pPr>
      <w:rPr>
        <w:rFonts w:ascii="Wingdings" w:hAnsi="Wingdings" w:hint="default"/>
      </w:rPr>
    </w:lvl>
    <w:lvl w:ilvl="6" w:tplc="04260001" w:tentative="1">
      <w:start w:val="1"/>
      <w:numFmt w:val="bullet"/>
      <w:lvlText w:val=""/>
      <w:lvlJc w:val="left"/>
      <w:pPr>
        <w:tabs>
          <w:tab w:val="num" w:pos="6120"/>
        </w:tabs>
        <w:ind w:left="6120" w:hanging="360"/>
      </w:pPr>
      <w:rPr>
        <w:rFonts w:ascii="Symbol" w:hAnsi="Symbol" w:hint="default"/>
      </w:rPr>
    </w:lvl>
    <w:lvl w:ilvl="7" w:tplc="04260003" w:tentative="1">
      <w:start w:val="1"/>
      <w:numFmt w:val="bullet"/>
      <w:lvlText w:val="o"/>
      <w:lvlJc w:val="left"/>
      <w:pPr>
        <w:tabs>
          <w:tab w:val="num" w:pos="6840"/>
        </w:tabs>
        <w:ind w:left="6840" w:hanging="360"/>
      </w:pPr>
      <w:rPr>
        <w:rFonts w:ascii="Courier New" w:hAnsi="Courier New" w:cs="Courier New" w:hint="default"/>
      </w:rPr>
    </w:lvl>
    <w:lvl w:ilvl="8" w:tplc="04260005" w:tentative="1">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5F405ABB"/>
    <w:multiLevelType w:val="hybridMultilevel"/>
    <w:tmpl w:val="EDBCDC26"/>
    <w:lvl w:ilvl="0" w:tplc="04260017">
      <w:start w:val="1"/>
      <w:numFmt w:val="lowerLetter"/>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6" w15:restartNumberingAfterBreak="0">
    <w:nsid w:val="6179350F"/>
    <w:multiLevelType w:val="hybridMultilevel"/>
    <w:tmpl w:val="5E0ECA84"/>
    <w:lvl w:ilvl="0" w:tplc="79786AF2">
      <w:start w:val="3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24375C1"/>
    <w:multiLevelType w:val="hybridMultilevel"/>
    <w:tmpl w:val="1FA6A5CC"/>
    <w:lvl w:ilvl="0" w:tplc="536497A6">
      <w:start w:val="12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3AC0132"/>
    <w:multiLevelType w:val="hybridMultilevel"/>
    <w:tmpl w:val="66F8CE84"/>
    <w:lvl w:ilvl="0" w:tplc="04260001">
      <w:start w:val="1"/>
      <w:numFmt w:val="bullet"/>
      <w:lvlText w:val=""/>
      <w:lvlJc w:val="left"/>
      <w:pPr>
        <w:ind w:left="720" w:hanging="360"/>
      </w:pPr>
      <w:rPr>
        <w:rFonts w:ascii="Symbol" w:hAnsi="Symbol" w:hint="default"/>
      </w:rPr>
    </w:lvl>
    <w:lvl w:ilvl="1" w:tplc="4AE47DDE">
      <w:numFmt w:val="bullet"/>
      <w:lvlText w:val="-"/>
      <w:lvlJc w:val="left"/>
      <w:pPr>
        <w:ind w:left="1440" w:hanging="360"/>
      </w:pPr>
      <w:rPr>
        <w:rFonts w:ascii="Tahoma" w:eastAsia="Times New Roman" w:hAnsi="Tahoma" w:cs="Tahoma"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6C3C0789"/>
    <w:multiLevelType w:val="hybridMultilevel"/>
    <w:tmpl w:val="D96A43F2"/>
    <w:lvl w:ilvl="0" w:tplc="DBDC2892">
      <w:start w:val="2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0AB2FEF"/>
    <w:multiLevelType w:val="hybridMultilevel"/>
    <w:tmpl w:val="27C88D4A"/>
    <w:lvl w:ilvl="0" w:tplc="0426000F">
      <w:start w:val="1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2C118F2"/>
    <w:multiLevelType w:val="hybridMultilevel"/>
    <w:tmpl w:val="1E620D74"/>
    <w:lvl w:ilvl="0" w:tplc="690665D0">
      <w:start w:val="25"/>
      <w:numFmt w:val="decimal"/>
      <w:lvlText w:val="%1."/>
      <w:lvlJc w:val="left"/>
      <w:pPr>
        <w:ind w:left="786" w:hanging="360"/>
      </w:pPr>
      <w:rPr>
        <w:rFonts w:ascii="Tahoma" w:hAnsi="Tahoma" w:cs="Tahoma" w:hint="default"/>
        <w:b/>
        <w:sz w:val="18"/>
        <w:szCs w:val="18"/>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2" w15:restartNumberingAfterBreak="0">
    <w:nsid w:val="77804803"/>
    <w:multiLevelType w:val="hybridMultilevel"/>
    <w:tmpl w:val="C27EE458"/>
    <w:lvl w:ilvl="0" w:tplc="FFFFFFFF">
      <w:start w:val="1"/>
      <w:numFmt w:val="decimal"/>
      <w:lvlText w:val="%1."/>
      <w:lvlJc w:val="left"/>
      <w:pPr>
        <w:ind w:left="720" w:hanging="360"/>
      </w:pPr>
      <w:rPr>
        <w:rFonts w:ascii="Tahoma" w:hAnsi="Tahoma" w:cs="Tahoma" w:hint="default"/>
        <w:b/>
        <w:sz w:val="18"/>
        <w:szCs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046612050">
    <w:abstractNumId w:val="18"/>
  </w:num>
  <w:num w:numId="2" w16cid:durableId="114570581">
    <w:abstractNumId w:val="3"/>
  </w:num>
  <w:num w:numId="3" w16cid:durableId="1893343359">
    <w:abstractNumId w:val="8"/>
  </w:num>
  <w:num w:numId="4" w16cid:durableId="2051805596">
    <w:abstractNumId w:val="4"/>
  </w:num>
  <w:num w:numId="5" w16cid:durableId="1537616418">
    <w:abstractNumId w:val="14"/>
  </w:num>
  <w:num w:numId="6" w16cid:durableId="1056663758">
    <w:abstractNumId w:val="7"/>
  </w:num>
  <w:num w:numId="7" w16cid:durableId="967128224">
    <w:abstractNumId w:val="1"/>
  </w:num>
  <w:num w:numId="8" w16cid:durableId="1316684336">
    <w:abstractNumId w:val="16"/>
  </w:num>
  <w:num w:numId="9" w16cid:durableId="1003244903">
    <w:abstractNumId w:val="2"/>
  </w:num>
  <w:num w:numId="10" w16cid:durableId="1858302729">
    <w:abstractNumId w:val="11"/>
  </w:num>
  <w:num w:numId="11" w16cid:durableId="814957071">
    <w:abstractNumId w:val="9"/>
  </w:num>
  <w:num w:numId="12" w16cid:durableId="1080903252">
    <w:abstractNumId w:val="19"/>
  </w:num>
  <w:num w:numId="13" w16cid:durableId="78917614">
    <w:abstractNumId w:val="6"/>
  </w:num>
  <w:num w:numId="14" w16cid:durableId="261961461">
    <w:abstractNumId w:val="5"/>
  </w:num>
  <w:num w:numId="15" w16cid:durableId="135492930">
    <w:abstractNumId w:val="13"/>
  </w:num>
  <w:num w:numId="16" w16cid:durableId="592662252">
    <w:abstractNumId w:val="21"/>
  </w:num>
  <w:num w:numId="17" w16cid:durableId="99494601">
    <w:abstractNumId w:val="12"/>
  </w:num>
  <w:num w:numId="18" w16cid:durableId="1836458535">
    <w:abstractNumId w:val="0"/>
  </w:num>
  <w:num w:numId="19" w16cid:durableId="1634752634">
    <w:abstractNumId w:val="22"/>
  </w:num>
  <w:num w:numId="20" w16cid:durableId="470446581">
    <w:abstractNumId w:val="17"/>
  </w:num>
  <w:num w:numId="21" w16cid:durableId="532959091">
    <w:abstractNumId w:val="10"/>
  </w:num>
  <w:num w:numId="22" w16cid:durableId="1245795038">
    <w:abstractNumId w:val="20"/>
  </w:num>
  <w:num w:numId="23" w16cid:durableId="1252396210">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drawingGridHorizontalSpacing w:val="110"/>
  <w:displayHorizontalDrawingGridEvery w:val="2"/>
  <w:displayVerticalDrawingGridEvery w:val="2"/>
  <w:characterSpacingControl w:val="doNotCompress"/>
  <w:hdrShapeDefaults>
    <o:shapedefaults v:ext="edit" spidmax="2050">
      <o:colormru v:ext="edit" colors="#f6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06F"/>
    <w:rsid w:val="000006BE"/>
    <w:rsid w:val="00002B16"/>
    <w:rsid w:val="00002CEE"/>
    <w:rsid w:val="00003281"/>
    <w:rsid w:val="00003292"/>
    <w:rsid w:val="0000369E"/>
    <w:rsid w:val="00003C05"/>
    <w:rsid w:val="0000485D"/>
    <w:rsid w:val="00005DA2"/>
    <w:rsid w:val="000068DC"/>
    <w:rsid w:val="00010C3C"/>
    <w:rsid w:val="00010D88"/>
    <w:rsid w:val="0001210E"/>
    <w:rsid w:val="00012314"/>
    <w:rsid w:val="00012690"/>
    <w:rsid w:val="00012FF2"/>
    <w:rsid w:val="00014BE9"/>
    <w:rsid w:val="000161A5"/>
    <w:rsid w:val="00016202"/>
    <w:rsid w:val="00016CF5"/>
    <w:rsid w:val="00016FCF"/>
    <w:rsid w:val="000178D1"/>
    <w:rsid w:val="00017B81"/>
    <w:rsid w:val="0002128B"/>
    <w:rsid w:val="00022437"/>
    <w:rsid w:val="00023208"/>
    <w:rsid w:val="0002381D"/>
    <w:rsid w:val="0002407C"/>
    <w:rsid w:val="000244B4"/>
    <w:rsid w:val="0002686A"/>
    <w:rsid w:val="00026D45"/>
    <w:rsid w:val="000271FB"/>
    <w:rsid w:val="00027224"/>
    <w:rsid w:val="000275EA"/>
    <w:rsid w:val="00031314"/>
    <w:rsid w:val="00031405"/>
    <w:rsid w:val="0003242A"/>
    <w:rsid w:val="000331BD"/>
    <w:rsid w:val="00033C13"/>
    <w:rsid w:val="00035046"/>
    <w:rsid w:val="0003601E"/>
    <w:rsid w:val="00036044"/>
    <w:rsid w:val="000367E8"/>
    <w:rsid w:val="0003708B"/>
    <w:rsid w:val="00037331"/>
    <w:rsid w:val="00037355"/>
    <w:rsid w:val="000374D2"/>
    <w:rsid w:val="000431AE"/>
    <w:rsid w:val="000432CA"/>
    <w:rsid w:val="0004391F"/>
    <w:rsid w:val="00044956"/>
    <w:rsid w:val="000459C4"/>
    <w:rsid w:val="00045AE4"/>
    <w:rsid w:val="000503BB"/>
    <w:rsid w:val="00050447"/>
    <w:rsid w:val="00053536"/>
    <w:rsid w:val="0005471C"/>
    <w:rsid w:val="00054AE9"/>
    <w:rsid w:val="00055290"/>
    <w:rsid w:val="000562F6"/>
    <w:rsid w:val="00060A19"/>
    <w:rsid w:val="00062376"/>
    <w:rsid w:val="00063031"/>
    <w:rsid w:val="000638F1"/>
    <w:rsid w:val="000670A1"/>
    <w:rsid w:val="00067F87"/>
    <w:rsid w:val="00073F06"/>
    <w:rsid w:val="000749E6"/>
    <w:rsid w:val="00076AFD"/>
    <w:rsid w:val="00076D0C"/>
    <w:rsid w:val="0007733B"/>
    <w:rsid w:val="0007765B"/>
    <w:rsid w:val="00077864"/>
    <w:rsid w:val="00080233"/>
    <w:rsid w:val="00081BFF"/>
    <w:rsid w:val="00085768"/>
    <w:rsid w:val="00085AA6"/>
    <w:rsid w:val="00085F98"/>
    <w:rsid w:val="00086744"/>
    <w:rsid w:val="00086B43"/>
    <w:rsid w:val="00086D4F"/>
    <w:rsid w:val="00087D75"/>
    <w:rsid w:val="00090615"/>
    <w:rsid w:val="0009209B"/>
    <w:rsid w:val="000923EB"/>
    <w:rsid w:val="00092633"/>
    <w:rsid w:val="00092999"/>
    <w:rsid w:val="00093C1B"/>
    <w:rsid w:val="00095525"/>
    <w:rsid w:val="000958E4"/>
    <w:rsid w:val="000970E7"/>
    <w:rsid w:val="00097392"/>
    <w:rsid w:val="000A0BD9"/>
    <w:rsid w:val="000A1470"/>
    <w:rsid w:val="000A171E"/>
    <w:rsid w:val="000A1E44"/>
    <w:rsid w:val="000A2547"/>
    <w:rsid w:val="000A25D5"/>
    <w:rsid w:val="000A398B"/>
    <w:rsid w:val="000A41A2"/>
    <w:rsid w:val="000A4940"/>
    <w:rsid w:val="000A52DF"/>
    <w:rsid w:val="000A696F"/>
    <w:rsid w:val="000A7402"/>
    <w:rsid w:val="000A7CEE"/>
    <w:rsid w:val="000B05E2"/>
    <w:rsid w:val="000B0DB4"/>
    <w:rsid w:val="000B1BB2"/>
    <w:rsid w:val="000B362D"/>
    <w:rsid w:val="000B44F6"/>
    <w:rsid w:val="000B4ABD"/>
    <w:rsid w:val="000B5ED6"/>
    <w:rsid w:val="000B61AD"/>
    <w:rsid w:val="000B6DEE"/>
    <w:rsid w:val="000B76F6"/>
    <w:rsid w:val="000C07E6"/>
    <w:rsid w:val="000C1BF7"/>
    <w:rsid w:val="000C1F8D"/>
    <w:rsid w:val="000C213C"/>
    <w:rsid w:val="000C27BB"/>
    <w:rsid w:val="000C2FF1"/>
    <w:rsid w:val="000C3786"/>
    <w:rsid w:val="000C3A3C"/>
    <w:rsid w:val="000C52B3"/>
    <w:rsid w:val="000C6C89"/>
    <w:rsid w:val="000C78AD"/>
    <w:rsid w:val="000D0B12"/>
    <w:rsid w:val="000D1B1F"/>
    <w:rsid w:val="000D1E51"/>
    <w:rsid w:val="000D2486"/>
    <w:rsid w:val="000D24D9"/>
    <w:rsid w:val="000D2D74"/>
    <w:rsid w:val="000D35C1"/>
    <w:rsid w:val="000D4089"/>
    <w:rsid w:val="000D41F7"/>
    <w:rsid w:val="000D4F0D"/>
    <w:rsid w:val="000D5855"/>
    <w:rsid w:val="000D6106"/>
    <w:rsid w:val="000D61F8"/>
    <w:rsid w:val="000D6F36"/>
    <w:rsid w:val="000D7559"/>
    <w:rsid w:val="000D7CC0"/>
    <w:rsid w:val="000E03E3"/>
    <w:rsid w:val="000E06ED"/>
    <w:rsid w:val="000E0930"/>
    <w:rsid w:val="000E1323"/>
    <w:rsid w:val="000E1ED5"/>
    <w:rsid w:val="000E3220"/>
    <w:rsid w:val="000E3CAF"/>
    <w:rsid w:val="000E3E4F"/>
    <w:rsid w:val="000E4594"/>
    <w:rsid w:val="000E49A2"/>
    <w:rsid w:val="000E4C6D"/>
    <w:rsid w:val="000E500A"/>
    <w:rsid w:val="000E5D42"/>
    <w:rsid w:val="000E62D6"/>
    <w:rsid w:val="000E7339"/>
    <w:rsid w:val="000E7780"/>
    <w:rsid w:val="000E7D84"/>
    <w:rsid w:val="000E7E1A"/>
    <w:rsid w:val="000F08FA"/>
    <w:rsid w:val="000F1132"/>
    <w:rsid w:val="000F12F6"/>
    <w:rsid w:val="000F24EB"/>
    <w:rsid w:val="000F2FE1"/>
    <w:rsid w:val="000F4EF4"/>
    <w:rsid w:val="000F5950"/>
    <w:rsid w:val="000F5AB6"/>
    <w:rsid w:val="000F7140"/>
    <w:rsid w:val="000F7978"/>
    <w:rsid w:val="000F7AEB"/>
    <w:rsid w:val="00100051"/>
    <w:rsid w:val="00100D0C"/>
    <w:rsid w:val="00101219"/>
    <w:rsid w:val="001013D6"/>
    <w:rsid w:val="00101BD5"/>
    <w:rsid w:val="001034E6"/>
    <w:rsid w:val="001038AB"/>
    <w:rsid w:val="00103D3A"/>
    <w:rsid w:val="001049A3"/>
    <w:rsid w:val="00104E48"/>
    <w:rsid w:val="00105131"/>
    <w:rsid w:val="00105940"/>
    <w:rsid w:val="00105C78"/>
    <w:rsid w:val="00106EC9"/>
    <w:rsid w:val="001137A1"/>
    <w:rsid w:val="00114706"/>
    <w:rsid w:val="001148F7"/>
    <w:rsid w:val="00114D60"/>
    <w:rsid w:val="001160F0"/>
    <w:rsid w:val="00117CB5"/>
    <w:rsid w:val="00120894"/>
    <w:rsid w:val="00121F6C"/>
    <w:rsid w:val="00122195"/>
    <w:rsid w:val="00122362"/>
    <w:rsid w:val="0012298C"/>
    <w:rsid w:val="001233E4"/>
    <w:rsid w:val="00123B97"/>
    <w:rsid w:val="00123DB6"/>
    <w:rsid w:val="0012474D"/>
    <w:rsid w:val="00124A15"/>
    <w:rsid w:val="0012500F"/>
    <w:rsid w:val="001254A9"/>
    <w:rsid w:val="00126389"/>
    <w:rsid w:val="00126573"/>
    <w:rsid w:val="001269E3"/>
    <w:rsid w:val="00131501"/>
    <w:rsid w:val="00131645"/>
    <w:rsid w:val="00132AE2"/>
    <w:rsid w:val="00132B57"/>
    <w:rsid w:val="00134698"/>
    <w:rsid w:val="00136440"/>
    <w:rsid w:val="00136C2A"/>
    <w:rsid w:val="001401EC"/>
    <w:rsid w:val="001412B5"/>
    <w:rsid w:val="00142412"/>
    <w:rsid w:val="001424AF"/>
    <w:rsid w:val="001425E8"/>
    <w:rsid w:val="001426B0"/>
    <w:rsid w:val="00142882"/>
    <w:rsid w:val="0014424B"/>
    <w:rsid w:val="00145C4F"/>
    <w:rsid w:val="00145DE6"/>
    <w:rsid w:val="00145FBC"/>
    <w:rsid w:val="00146A76"/>
    <w:rsid w:val="0014726B"/>
    <w:rsid w:val="00151555"/>
    <w:rsid w:val="00152587"/>
    <w:rsid w:val="00154103"/>
    <w:rsid w:val="00154136"/>
    <w:rsid w:val="00154173"/>
    <w:rsid w:val="0015689E"/>
    <w:rsid w:val="001604F8"/>
    <w:rsid w:val="00161270"/>
    <w:rsid w:val="0016147D"/>
    <w:rsid w:val="0016176F"/>
    <w:rsid w:val="00161872"/>
    <w:rsid w:val="00162238"/>
    <w:rsid w:val="0016321F"/>
    <w:rsid w:val="00164B3F"/>
    <w:rsid w:val="00164E4B"/>
    <w:rsid w:val="001651E1"/>
    <w:rsid w:val="001653C4"/>
    <w:rsid w:val="00165574"/>
    <w:rsid w:val="00165AF3"/>
    <w:rsid w:val="001660ED"/>
    <w:rsid w:val="0016636C"/>
    <w:rsid w:val="00166D33"/>
    <w:rsid w:val="001673B7"/>
    <w:rsid w:val="00170082"/>
    <w:rsid w:val="00170A13"/>
    <w:rsid w:val="00173C02"/>
    <w:rsid w:val="00173C1A"/>
    <w:rsid w:val="0017546C"/>
    <w:rsid w:val="00176358"/>
    <w:rsid w:val="00177365"/>
    <w:rsid w:val="0018012B"/>
    <w:rsid w:val="00180371"/>
    <w:rsid w:val="00180A4B"/>
    <w:rsid w:val="00180CFA"/>
    <w:rsid w:val="001812C4"/>
    <w:rsid w:val="00181567"/>
    <w:rsid w:val="00182D47"/>
    <w:rsid w:val="00183292"/>
    <w:rsid w:val="00185B6E"/>
    <w:rsid w:val="0018759B"/>
    <w:rsid w:val="00187671"/>
    <w:rsid w:val="00187908"/>
    <w:rsid w:val="0019056B"/>
    <w:rsid w:val="001921D8"/>
    <w:rsid w:val="0019270F"/>
    <w:rsid w:val="001930BA"/>
    <w:rsid w:val="001961BE"/>
    <w:rsid w:val="001967EE"/>
    <w:rsid w:val="001A002E"/>
    <w:rsid w:val="001A0190"/>
    <w:rsid w:val="001A0FED"/>
    <w:rsid w:val="001A21C2"/>
    <w:rsid w:val="001A2436"/>
    <w:rsid w:val="001A319F"/>
    <w:rsid w:val="001A3361"/>
    <w:rsid w:val="001A4152"/>
    <w:rsid w:val="001A42A9"/>
    <w:rsid w:val="001A4626"/>
    <w:rsid w:val="001A501F"/>
    <w:rsid w:val="001A5CAD"/>
    <w:rsid w:val="001B0123"/>
    <w:rsid w:val="001B30A7"/>
    <w:rsid w:val="001B35C3"/>
    <w:rsid w:val="001B385A"/>
    <w:rsid w:val="001B500E"/>
    <w:rsid w:val="001B52E0"/>
    <w:rsid w:val="001B6CA1"/>
    <w:rsid w:val="001C05E6"/>
    <w:rsid w:val="001C0FBF"/>
    <w:rsid w:val="001C131D"/>
    <w:rsid w:val="001C1538"/>
    <w:rsid w:val="001C2191"/>
    <w:rsid w:val="001C2BA7"/>
    <w:rsid w:val="001C2E0A"/>
    <w:rsid w:val="001C303D"/>
    <w:rsid w:val="001C30AD"/>
    <w:rsid w:val="001C378A"/>
    <w:rsid w:val="001C4D81"/>
    <w:rsid w:val="001C4EBD"/>
    <w:rsid w:val="001C6EE1"/>
    <w:rsid w:val="001C7BF9"/>
    <w:rsid w:val="001D03DC"/>
    <w:rsid w:val="001D0A5A"/>
    <w:rsid w:val="001D1EC7"/>
    <w:rsid w:val="001D2070"/>
    <w:rsid w:val="001D3176"/>
    <w:rsid w:val="001D6B4C"/>
    <w:rsid w:val="001D73FA"/>
    <w:rsid w:val="001E036C"/>
    <w:rsid w:val="001E10CD"/>
    <w:rsid w:val="001E34C5"/>
    <w:rsid w:val="001E4504"/>
    <w:rsid w:val="001E5033"/>
    <w:rsid w:val="001E55F9"/>
    <w:rsid w:val="001E79E3"/>
    <w:rsid w:val="001E7CB2"/>
    <w:rsid w:val="001E7CF6"/>
    <w:rsid w:val="001F1761"/>
    <w:rsid w:val="001F2A1D"/>
    <w:rsid w:val="001F2BB1"/>
    <w:rsid w:val="001F2BBE"/>
    <w:rsid w:val="001F2D4E"/>
    <w:rsid w:val="001F429A"/>
    <w:rsid w:val="001F43BC"/>
    <w:rsid w:val="001F4AC0"/>
    <w:rsid w:val="001F5718"/>
    <w:rsid w:val="001F588E"/>
    <w:rsid w:val="001F6B7B"/>
    <w:rsid w:val="001F6D0B"/>
    <w:rsid w:val="001F76C9"/>
    <w:rsid w:val="001F7AE5"/>
    <w:rsid w:val="002004BE"/>
    <w:rsid w:val="002005B8"/>
    <w:rsid w:val="002022F2"/>
    <w:rsid w:val="002040CF"/>
    <w:rsid w:val="0020446B"/>
    <w:rsid w:val="00204CAD"/>
    <w:rsid w:val="00204D00"/>
    <w:rsid w:val="00205D69"/>
    <w:rsid w:val="002071CF"/>
    <w:rsid w:val="00211724"/>
    <w:rsid w:val="002126EA"/>
    <w:rsid w:val="00214533"/>
    <w:rsid w:val="00216AF1"/>
    <w:rsid w:val="00217C0C"/>
    <w:rsid w:val="00220A35"/>
    <w:rsid w:val="00220C92"/>
    <w:rsid w:val="00220FDB"/>
    <w:rsid w:val="00222A99"/>
    <w:rsid w:val="00223B0D"/>
    <w:rsid w:val="00223FC1"/>
    <w:rsid w:val="0022460E"/>
    <w:rsid w:val="00224DB1"/>
    <w:rsid w:val="00224F65"/>
    <w:rsid w:val="00225013"/>
    <w:rsid w:val="002262DD"/>
    <w:rsid w:val="00226559"/>
    <w:rsid w:val="002273FF"/>
    <w:rsid w:val="002322CC"/>
    <w:rsid w:val="0023235C"/>
    <w:rsid w:val="00233D54"/>
    <w:rsid w:val="0023533C"/>
    <w:rsid w:val="002355D3"/>
    <w:rsid w:val="002355F2"/>
    <w:rsid w:val="00235800"/>
    <w:rsid w:val="0023612F"/>
    <w:rsid w:val="0024076F"/>
    <w:rsid w:val="00240E32"/>
    <w:rsid w:val="00240FCD"/>
    <w:rsid w:val="00241078"/>
    <w:rsid w:val="002416C5"/>
    <w:rsid w:val="00241FE3"/>
    <w:rsid w:val="0024348B"/>
    <w:rsid w:val="00244CDC"/>
    <w:rsid w:val="002450FA"/>
    <w:rsid w:val="0024515E"/>
    <w:rsid w:val="0024535B"/>
    <w:rsid w:val="00246A98"/>
    <w:rsid w:val="0024759C"/>
    <w:rsid w:val="002477A4"/>
    <w:rsid w:val="00247D89"/>
    <w:rsid w:val="00250804"/>
    <w:rsid w:val="002516B5"/>
    <w:rsid w:val="002521D2"/>
    <w:rsid w:val="002544FA"/>
    <w:rsid w:val="002549FB"/>
    <w:rsid w:val="00254A9E"/>
    <w:rsid w:val="00255381"/>
    <w:rsid w:val="00255EB5"/>
    <w:rsid w:val="0025665F"/>
    <w:rsid w:val="00256BE5"/>
    <w:rsid w:val="00257AC5"/>
    <w:rsid w:val="0026085B"/>
    <w:rsid w:val="002609B9"/>
    <w:rsid w:val="00260C91"/>
    <w:rsid w:val="00262C67"/>
    <w:rsid w:val="00263084"/>
    <w:rsid w:val="00263F51"/>
    <w:rsid w:val="0026637E"/>
    <w:rsid w:val="00266679"/>
    <w:rsid w:val="00267B08"/>
    <w:rsid w:val="00270562"/>
    <w:rsid w:val="00270865"/>
    <w:rsid w:val="00271644"/>
    <w:rsid w:val="00271A07"/>
    <w:rsid w:val="002726BE"/>
    <w:rsid w:val="00272F87"/>
    <w:rsid w:val="00274572"/>
    <w:rsid w:val="00275578"/>
    <w:rsid w:val="00275993"/>
    <w:rsid w:val="00276702"/>
    <w:rsid w:val="00280D99"/>
    <w:rsid w:val="0028648F"/>
    <w:rsid w:val="0028713A"/>
    <w:rsid w:val="00287258"/>
    <w:rsid w:val="00287554"/>
    <w:rsid w:val="00287DE9"/>
    <w:rsid w:val="002904D2"/>
    <w:rsid w:val="002906E8"/>
    <w:rsid w:val="00290E2D"/>
    <w:rsid w:val="0029177B"/>
    <w:rsid w:val="002919D6"/>
    <w:rsid w:val="002948C0"/>
    <w:rsid w:val="0029581D"/>
    <w:rsid w:val="00295A97"/>
    <w:rsid w:val="002979E5"/>
    <w:rsid w:val="002A0100"/>
    <w:rsid w:val="002A0A40"/>
    <w:rsid w:val="002A1038"/>
    <w:rsid w:val="002A2FEF"/>
    <w:rsid w:val="002A3B79"/>
    <w:rsid w:val="002A46C4"/>
    <w:rsid w:val="002A4FF9"/>
    <w:rsid w:val="002A567B"/>
    <w:rsid w:val="002A56A1"/>
    <w:rsid w:val="002A5FD4"/>
    <w:rsid w:val="002A7DBF"/>
    <w:rsid w:val="002B01C4"/>
    <w:rsid w:val="002B146B"/>
    <w:rsid w:val="002B159B"/>
    <w:rsid w:val="002B231E"/>
    <w:rsid w:val="002B24BD"/>
    <w:rsid w:val="002B2913"/>
    <w:rsid w:val="002B340B"/>
    <w:rsid w:val="002B4AAB"/>
    <w:rsid w:val="002B4EDD"/>
    <w:rsid w:val="002B4F2C"/>
    <w:rsid w:val="002B51B9"/>
    <w:rsid w:val="002B5844"/>
    <w:rsid w:val="002B5EDD"/>
    <w:rsid w:val="002B6756"/>
    <w:rsid w:val="002B726B"/>
    <w:rsid w:val="002C02EB"/>
    <w:rsid w:val="002C0F55"/>
    <w:rsid w:val="002C104A"/>
    <w:rsid w:val="002C2113"/>
    <w:rsid w:val="002C254E"/>
    <w:rsid w:val="002C2B1B"/>
    <w:rsid w:val="002C4780"/>
    <w:rsid w:val="002C6D4B"/>
    <w:rsid w:val="002C6D9D"/>
    <w:rsid w:val="002C767E"/>
    <w:rsid w:val="002D1537"/>
    <w:rsid w:val="002D157A"/>
    <w:rsid w:val="002D16B1"/>
    <w:rsid w:val="002D297B"/>
    <w:rsid w:val="002D41A9"/>
    <w:rsid w:val="002D53B8"/>
    <w:rsid w:val="002D560F"/>
    <w:rsid w:val="002D6510"/>
    <w:rsid w:val="002D6FAA"/>
    <w:rsid w:val="002D771F"/>
    <w:rsid w:val="002D7788"/>
    <w:rsid w:val="002E0110"/>
    <w:rsid w:val="002E049D"/>
    <w:rsid w:val="002E0B2C"/>
    <w:rsid w:val="002E16F3"/>
    <w:rsid w:val="002E1D26"/>
    <w:rsid w:val="002E32E1"/>
    <w:rsid w:val="002E336D"/>
    <w:rsid w:val="002E3E78"/>
    <w:rsid w:val="002E5A66"/>
    <w:rsid w:val="002E60F5"/>
    <w:rsid w:val="002E68D7"/>
    <w:rsid w:val="002E72EC"/>
    <w:rsid w:val="002E765B"/>
    <w:rsid w:val="002F02DA"/>
    <w:rsid w:val="002F0D55"/>
    <w:rsid w:val="002F106C"/>
    <w:rsid w:val="002F1D1B"/>
    <w:rsid w:val="002F3261"/>
    <w:rsid w:val="002F56C6"/>
    <w:rsid w:val="002F64F2"/>
    <w:rsid w:val="002F6FEF"/>
    <w:rsid w:val="002F7272"/>
    <w:rsid w:val="002F7825"/>
    <w:rsid w:val="002F7DCF"/>
    <w:rsid w:val="00300125"/>
    <w:rsid w:val="003003F7"/>
    <w:rsid w:val="003046B4"/>
    <w:rsid w:val="0030471A"/>
    <w:rsid w:val="00305272"/>
    <w:rsid w:val="00307939"/>
    <w:rsid w:val="0031021B"/>
    <w:rsid w:val="00311C38"/>
    <w:rsid w:val="00311D43"/>
    <w:rsid w:val="003125BA"/>
    <w:rsid w:val="003137AF"/>
    <w:rsid w:val="00313817"/>
    <w:rsid w:val="00313A9A"/>
    <w:rsid w:val="00313F94"/>
    <w:rsid w:val="003215EA"/>
    <w:rsid w:val="00321675"/>
    <w:rsid w:val="00321C8C"/>
    <w:rsid w:val="003221CE"/>
    <w:rsid w:val="003225DF"/>
    <w:rsid w:val="003239DA"/>
    <w:rsid w:val="00324930"/>
    <w:rsid w:val="0032576E"/>
    <w:rsid w:val="00327595"/>
    <w:rsid w:val="003309B5"/>
    <w:rsid w:val="003323D9"/>
    <w:rsid w:val="00332495"/>
    <w:rsid w:val="003324D9"/>
    <w:rsid w:val="0033263F"/>
    <w:rsid w:val="003326B1"/>
    <w:rsid w:val="00333791"/>
    <w:rsid w:val="0033460F"/>
    <w:rsid w:val="00334DC4"/>
    <w:rsid w:val="0033511B"/>
    <w:rsid w:val="0033568D"/>
    <w:rsid w:val="00335953"/>
    <w:rsid w:val="00336CA2"/>
    <w:rsid w:val="0033788E"/>
    <w:rsid w:val="00337B24"/>
    <w:rsid w:val="00340CD8"/>
    <w:rsid w:val="0034184E"/>
    <w:rsid w:val="00341C43"/>
    <w:rsid w:val="00341EDE"/>
    <w:rsid w:val="0034204F"/>
    <w:rsid w:val="003425F0"/>
    <w:rsid w:val="0034367B"/>
    <w:rsid w:val="003445C2"/>
    <w:rsid w:val="00344EED"/>
    <w:rsid w:val="00345197"/>
    <w:rsid w:val="00345256"/>
    <w:rsid w:val="003459CC"/>
    <w:rsid w:val="00345A53"/>
    <w:rsid w:val="00346748"/>
    <w:rsid w:val="00346E9A"/>
    <w:rsid w:val="00351987"/>
    <w:rsid w:val="00351A07"/>
    <w:rsid w:val="00351C86"/>
    <w:rsid w:val="003520FF"/>
    <w:rsid w:val="0035370D"/>
    <w:rsid w:val="00353ADB"/>
    <w:rsid w:val="00355228"/>
    <w:rsid w:val="00355407"/>
    <w:rsid w:val="00357F3D"/>
    <w:rsid w:val="0036015B"/>
    <w:rsid w:val="003610D3"/>
    <w:rsid w:val="003617A4"/>
    <w:rsid w:val="00361C5C"/>
    <w:rsid w:val="00362C2F"/>
    <w:rsid w:val="003632F2"/>
    <w:rsid w:val="00363D15"/>
    <w:rsid w:val="00364868"/>
    <w:rsid w:val="00364C97"/>
    <w:rsid w:val="00365137"/>
    <w:rsid w:val="0036557C"/>
    <w:rsid w:val="0036588B"/>
    <w:rsid w:val="00365E0F"/>
    <w:rsid w:val="00365E2A"/>
    <w:rsid w:val="00366091"/>
    <w:rsid w:val="00370239"/>
    <w:rsid w:val="00371355"/>
    <w:rsid w:val="00371522"/>
    <w:rsid w:val="00372B15"/>
    <w:rsid w:val="00373175"/>
    <w:rsid w:val="00374D93"/>
    <w:rsid w:val="00375043"/>
    <w:rsid w:val="0037754D"/>
    <w:rsid w:val="003801EB"/>
    <w:rsid w:val="003801EC"/>
    <w:rsid w:val="00380A29"/>
    <w:rsid w:val="00380ADB"/>
    <w:rsid w:val="00381DB1"/>
    <w:rsid w:val="00382733"/>
    <w:rsid w:val="0038323B"/>
    <w:rsid w:val="003834A2"/>
    <w:rsid w:val="00384222"/>
    <w:rsid w:val="003847B8"/>
    <w:rsid w:val="0038487A"/>
    <w:rsid w:val="00385BA1"/>
    <w:rsid w:val="0038679F"/>
    <w:rsid w:val="00386850"/>
    <w:rsid w:val="00390EC9"/>
    <w:rsid w:val="00391620"/>
    <w:rsid w:val="00391623"/>
    <w:rsid w:val="0039278C"/>
    <w:rsid w:val="00392CEA"/>
    <w:rsid w:val="00393DFF"/>
    <w:rsid w:val="00393E92"/>
    <w:rsid w:val="00394694"/>
    <w:rsid w:val="003947A3"/>
    <w:rsid w:val="00395903"/>
    <w:rsid w:val="00396307"/>
    <w:rsid w:val="00396441"/>
    <w:rsid w:val="00396E31"/>
    <w:rsid w:val="00397186"/>
    <w:rsid w:val="003A0376"/>
    <w:rsid w:val="003A29E7"/>
    <w:rsid w:val="003A2DB8"/>
    <w:rsid w:val="003A3B31"/>
    <w:rsid w:val="003A3B51"/>
    <w:rsid w:val="003A4472"/>
    <w:rsid w:val="003A4C3D"/>
    <w:rsid w:val="003A4F37"/>
    <w:rsid w:val="003A5002"/>
    <w:rsid w:val="003A5830"/>
    <w:rsid w:val="003A60FE"/>
    <w:rsid w:val="003A65EA"/>
    <w:rsid w:val="003A7331"/>
    <w:rsid w:val="003A7522"/>
    <w:rsid w:val="003B33EF"/>
    <w:rsid w:val="003B379A"/>
    <w:rsid w:val="003B49DA"/>
    <w:rsid w:val="003B4F8D"/>
    <w:rsid w:val="003B5CC6"/>
    <w:rsid w:val="003B5ED8"/>
    <w:rsid w:val="003B637D"/>
    <w:rsid w:val="003B6D92"/>
    <w:rsid w:val="003C072C"/>
    <w:rsid w:val="003C0C07"/>
    <w:rsid w:val="003C11AF"/>
    <w:rsid w:val="003C11B3"/>
    <w:rsid w:val="003C2FE3"/>
    <w:rsid w:val="003C339C"/>
    <w:rsid w:val="003C3E78"/>
    <w:rsid w:val="003C4498"/>
    <w:rsid w:val="003C6548"/>
    <w:rsid w:val="003C6800"/>
    <w:rsid w:val="003C752D"/>
    <w:rsid w:val="003C7B84"/>
    <w:rsid w:val="003D0928"/>
    <w:rsid w:val="003D2B42"/>
    <w:rsid w:val="003D2DDF"/>
    <w:rsid w:val="003D3794"/>
    <w:rsid w:val="003D3838"/>
    <w:rsid w:val="003D4749"/>
    <w:rsid w:val="003D4CC1"/>
    <w:rsid w:val="003D750B"/>
    <w:rsid w:val="003D7618"/>
    <w:rsid w:val="003D7753"/>
    <w:rsid w:val="003D77BD"/>
    <w:rsid w:val="003E027A"/>
    <w:rsid w:val="003E0522"/>
    <w:rsid w:val="003E09BC"/>
    <w:rsid w:val="003E0E52"/>
    <w:rsid w:val="003E303A"/>
    <w:rsid w:val="003E496B"/>
    <w:rsid w:val="003E4F48"/>
    <w:rsid w:val="003F0425"/>
    <w:rsid w:val="003F0CD8"/>
    <w:rsid w:val="003F155C"/>
    <w:rsid w:val="003F29C8"/>
    <w:rsid w:val="003F3741"/>
    <w:rsid w:val="003F4B4D"/>
    <w:rsid w:val="003F6DD5"/>
    <w:rsid w:val="003F7099"/>
    <w:rsid w:val="003F7167"/>
    <w:rsid w:val="00401905"/>
    <w:rsid w:val="0040264C"/>
    <w:rsid w:val="00402DC1"/>
    <w:rsid w:val="00403041"/>
    <w:rsid w:val="0040310E"/>
    <w:rsid w:val="00403243"/>
    <w:rsid w:val="0040395D"/>
    <w:rsid w:val="0040489E"/>
    <w:rsid w:val="00404F1C"/>
    <w:rsid w:val="00405E97"/>
    <w:rsid w:val="00407533"/>
    <w:rsid w:val="00407AD3"/>
    <w:rsid w:val="00407D31"/>
    <w:rsid w:val="004108DC"/>
    <w:rsid w:val="00410FE6"/>
    <w:rsid w:val="00411AFF"/>
    <w:rsid w:val="004131E4"/>
    <w:rsid w:val="00414548"/>
    <w:rsid w:val="00415F04"/>
    <w:rsid w:val="00416786"/>
    <w:rsid w:val="00416D0A"/>
    <w:rsid w:val="00421169"/>
    <w:rsid w:val="00421CEF"/>
    <w:rsid w:val="00422365"/>
    <w:rsid w:val="00423DEE"/>
    <w:rsid w:val="00424E17"/>
    <w:rsid w:val="00425433"/>
    <w:rsid w:val="00427F4D"/>
    <w:rsid w:val="00431278"/>
    <w:rsid w:val="004317EB"/>
    <w:rsid w:val="00431FA2"/>
    <w:rsid w:val="0043267D"/>
    <w:rsid w:val="00433F82"/>
    <w:rsid w:val="004345CF"/>
    <w:rsid w:val="00435A06"/>
    <w:rsid w:val="00437426"/>
    <w:rsid w:val="00437D15"/>
    <w:rsid w:val="0044286B"/>
    <w:rsid w:val="00442B26"/>
    <w:rsid w:val="0044411B"/>
    <w:rsid w:val="004445AA"/>
    <w:rsid w:val="004446B2"/>
    <w:rsid w:val="00444C9F"/>
    <w:rsid w:val="00445239"/>
    <w:rsid w:val="00450E2C"/>
    <w:rsid w:val="00452356"/>
    <w:rsid w:val="00452B54"/>
    <w:rsid w:val="00452C2A"/>
    <w:rsid w:val="00452EE0"/>
    <w:rsid w:val="00453C46"/>
    <w:rsid w:val="00453EA9"/>
    <w:rsid w:val="004558D5"/>
    <w:rsid w:val="00456298"/>
    <w:rsid w:val="00456AD3"/>
    <w:rsid w:val="00456FE8"/>
    <w:rsid w:val="0045737A"/>
    <w:rsid w:val="00460ECA"/>
    <w:rsid w:val="004618BC"/>
    <w:rsid w:val="00461DCB"/>
    <w:rsid w:val="00462314"/>
    <w:rsid w:val="00462E3B"/>
    <w:rsid w:val="004633B2"/>
    <w:rsid w:val="00464C64"/>
    <w:rsid w:val="00464E7E"/>
    <w:rsid w:val="00465F6C"/>
    <w:rsid w:val="0046660C"/>
    <w:rsid w:val="004667DF"/>
    <w:rsid w:val="00466C10"/>
    <w:rsid w:val="00470EFE"/>
    <w:rsid w:val="004724C9"/>
    <w:rsid w:val="004729C4"/>
    <w:rsid w:val="00472B94"/>
    <w:rsid w:val="00473BE0"/>
    <w:rsid w:val="00474032"/>
    <w:rsid w:val="00474F4A"/>
    <w:rsid w:val="0047544E"/>
    <w:rsid w:val="0047791B"/>
    <w:rsid w:val="00482F9B"/>
    <w:rsid w:val="00483B0A"/>
    <w:rsid w:val="004850CA"/>
    <w:rsid w:val="00485738"/>
    <w:rsid w:val="00487242"/>
    <w:rsid w:val="00491C7E"/>
    <w:rsid w:val="00491F9A"/>
    <w:rsid w:val="00492D0D"/>
    <w:rsid w:val="0049349D"/>
    <w:rsid w:val="00493670"/>
    <w:rsid w:val="00494F3B"/>
    <w:rsid w:val="00495CD7"/>
    <w:rsid w:val="0049638B"/>
    <w:rsid w:val="00496E4E"/>
    <w:rsid w:val="004A1E0A"/>
    <w:rsid w:val="004A2D6B"/>
    <w:rsid w:val="004A42EB"/>
    <w:rsid w:val="004A4BF5"/>
    <w:rsid w:val="004A518B"/>
    <w:rsid w:val="004A69B2"/>
    <w:rsid w:val="004A7949"/>
    <w:rsid w:val="004B322E"/>
    <w:rsid w:val="004B3CF0"/>
    <w:rsid w:val="004B431C"/>
    <w:rsid w:val="004B4C02"/>
    <w:rsid w:val="004B7422"/>
    <w:rsid w:val="004C05C3"/>
    <w:rsid w:val="004C08DC"/>
    <w:rsid w:val="004C1489"/>
    <w:rsid w:val="004C3209"/>
    <w:rsid w:val="004C43C1"/>
    <w:rsid w:val="004C47B4"/>
    <w:rsid w:val="004C6152"/>
    <w:rsid w:val="004C6271"/>
    <w:rsid w:val="004D1BA0"/>
    <w:rsid w:val="004D2A3E"/>
    <w:rsid w:val="004D2C68"/>
    <w:rsid w:val="004D36A1"/>
    <w:rsid w:val="004D4A99"/>
    <w:rsid w:val="004D600C"/>
    <w:rsid w:val="004D79E0"/>
    <w:rsid w:val="004E0DB2"/>
    <w:rsid w:val="004E13AE"/>
    <w:rsid w:val="004E14C2"/>
    <w:rsid w:val="004E3B35"/>
    <w:rsid w:val="004E65AD"/>
    <w:rsid w:val="004F15D8"/>
    <w:rsid w:val="004F2865"/>
    <w:rsid w:val="004F4547"/>
    <w:rsid w:val="004F476B"/>
    <w:rsid w:val="004F48C9"/>
    <w:rsid w:val="004F5520"/>
    <w:rsid w:val="004F6584"/>
    <w:rsid w:val="004F67D6"/>
    <w:rsid w:val="004F74E6"/>
    <w:rsid w:val="005005E9"/>
    <w:rsid w:val="00500A2F"/>
    <w:rsid w:val="00500C6D"/>
    <w:rsid w:val="00501309"/>
    <w:rsid w:val="0050265A"/>
    <w:rsid w:val="00503468"/>
    <w:rsid w:val="00503B8B"/>
    <w:rsid w:val="0050402F"/>
    <w:rsid w:val="005045A7"/>
    <w:rsid w:val="00504C2D"/>
    <w:rsid w:val="00505D96"/>
    <w:rsid w:val="005071FC"/>
    <w:rsid w:val="0050770E"/>
    <w:rsid w:val="005077EF"/>
    <w:rsid w:val="00510230"/>
    <w:rsid w:val="005103D1"/>
    <w:rsid w:val="00510BE6"/>
    <w:rsid w:val="00510C4D"/>
    <w:rsid w:val="00510E5B"/>
    <w:rsid w:val="005112EC"/>
    <w:rsid w:val="00513363"/>
    <w:rsid w:val="00514404"/>
    <w:rsid w:val="00514D8A"/>
    <w:rsid w:val="005152B2"/>
    <w:rsid w:val="0051566B"/>
    <w:rsid w:val="0051594E"/>
    <w:rsid w:val="0051633D"/>
    <w:rsid w:val="00520120"/>
    <w:rsid w:val="00520187"/>
    <w:rsid w:val="00520B93"/>
    <w:rsid w:val="00521DE6"/>
    <w:rsid w:val="00522336"/>
    <w:rsid w:val="00525786"/>
    <w:rsid w:val="0052588F"/>
    <w:rsid w:val="00525C19"/>
    <w:rsid w:val="00525ED7"/>
    <w:rsid w:val="00526980"/>
    <w:rsid w:val="005270C1"/>
    <w:rsid w:val="005270C4"/>
    <w:rsid w:val="00531389"/>
    <w:rsid w:val="00531570"/>
    <w:rsid w:val="00532A0B"/>
    <w:rsid w:val="00533508"/>
    <w:rsid w:val="00533AEA"/>
    <w:rsid w:val="0053447E"/>
    <w:rsid w:val="005349E7"/>
    <w:rsid w:val="00535643"/>
    <w:rsid w:val="00536061"/>
    <w:rsid w:val="00536D5A"/>
    <w:rsid w:val="005371DF"/>
    <w:rsid w:val="00537820"/>
    <w:rsid w:val="00542D7C"/>
    <w:rsid w:val="00543325"/>
    <w:rsid w:val="00543851"/>
    <w:rsid w:val="00543C2F"/>
    <w:rsid w:val="00544870"/>
    <w:rsid w:val="00544B46"/>
    <w:rsid w:val="00544E6F"/>
    <w:rsid w:val="00545E29"/>
    <w:rsid w:val="00547522"/>
    <w:rsid w:val="0054760B"/>
    <w:rsid w:val="00547DD8"/>
    <w:rsid w:val="00547E81"/>
    <w:rsid w:val="005500C2"/>
    <w:rsid w:val="00551FD6"/>
    <w:rsid w:val="005527F0"/>
    <w:rsid w:val="005539A6"/>
    <w:rsid w:val="00554448"/>
    <w:rsid w:val="00554AE9"/>
    <w:rsid w:val="00554D5C"/>
    <w:rsid w:val="00556DBF"/>
    <w:rsid w:val="00557DEC"/>
    <w:rsid w:val="00560336"/>
    <w:rsid w:val="005609FD"/>
    <w:rsid w:val="00560E7C"/>
    <w:rsid w:val="00562543"/>
    <w:rsid w:val="00562677"/>
    <w:rsid w:val="005629C6"/>
    <w:rsid w:val="005632BF"/>
    <w:rsid w:val="0056523F"/>
    <w:rsid w:val="00565A36"/>
    <w:rsid w:val="005662DC"/>
    <w:rsid w:val="00566C4D"/>
    <w:rsid w:val="00566CC9"/>
    <w:rsid w:val="00572AFB"/>
    <w:rsid w:val="00574576"/>
    <w:rsid w:val="00574C42"/>
    <w:rsid w:val="00574C55"/>
    <w:rsid w:val="00576B53"/>
    <w:rsid w:val="005804E6"/>
    <w:rsid w:val="005807AB"/>
    <w:rsid w:val="00580BAD"/>
    <w:rsid w:val="00581279"/>
    <w:rsid w:val="00581A0F"/>
    <w:rsid w:val="00582494"/>
    <w:rsid w:val="0058295F"/>
    <w:rsid w:val="0058371A"/>
    <w:rsid w:val="005838A9"/>
    <w:rsid w:val="00583FB1"/>
    <w:rsid w:val="00584013"/>
    <w:rsid w:val="0058440E"/>
    <w:rsid w:val="005848A4"/>
    <w:rsid w:val="005864C9"/>
    <w:rsid w:val="005871E9"/>
    <w:rsid w:val="00587715"/>
    <w:rsid w:val="00590878"/>
    <w:rsid w:val="00590EE4"/>
    <w:rsid w:val="005926B1"/>
    <w:rsid w:val="00592C62"/>
    <w:rsid w:val="00592F4F"/>
    <w:rsid w:val="005933CA"/>
    <w:rsid w:val="005966DB"/>
    <w:rsid w:val="00597258"/>
    <w:rsid w:val="00597DE7"/>
    <w:rsid w:val="005A00A5"/>
    <w:rsid w:val="005A016E"/>
    <w:rsid w:val="005A04FB"/>
    <w:rsid w:val="005A3BDC"/>
    <w:rsid w:val="005A3D05"/>
    <w:rsid w:val="005A3D91"/>
    <w:rsid w:val="005A4C98"/>
    <w:rsid w:val="005A56C1"/>
    <w:rsid w:val="005A70F5"/>
    <w:rsid w:val="005A7EA0"/>
    <w:rsid w:val="005B0EB7"/>
    <w:rsid w:val="005B2F25"/>
    <w:rsid w:val="005B32E4"/>
    <w:rsid w:val="005B4B75"/>
    <w:rsid w:val="005B500C"/>
    <w:rsid w:val="005C07D1"/>
    <w:rsid w:val="005C0956"/>
    <w:rsid w:val="005C09F0"/>
    <w:rsid w:val="005C1EEB"/>
    <w:rsid w:val="005C229D"/>
    <w:rsid w:val="005C2676"/>
    <w:rsid w:val="005C42D2"/>
    <w:rsid w:val="005C4B85"/>
    <w:rsid w:val="005C4C68"/>
    <w:rsid w:val="005C4D36"/>
    <w:rsid w:val="005C511D"/>
    <w:rsid w:val="005C5800"/>
    <w:rsid w:val="005C63BD"/>
    <w:rsid w:val="005C7218"/>
    <w:rsid w:val="005C7B3E"/>
    <w:rsid w:val="005D0175"/>
    <w:rsid w:val="005D09C7"/>
    <w:rsid w:val="005D0FCC"/>
    <w:rsid w:val="005D13B9"/>
    <w:rsid w:val="005D16CD"/>
    <w:rsid w:val="005D1A0C"/>
    <w:rsid w:val="005D1D11"/>
    <w:rsid w:val="005D2704"/>
    <w:rsid w:val="005D2D60"/>
    <w:rsid w:val="005D2EA8"/>
    <w:rsid w:val="005D3AA0"/>
    <w:rsid w:val="005D3E10"/>
    <w:rsid w:val="005D44EB"/>
    <w:rsid w:val="005D6F30"/>
    <w:rsid w:val="005E0F4B"/>
    <w:rsid w:val="005E18D7"/>
    <w:rsid w:val="005E24AF"/>
    <w:rsid w:val="005E2B71"/>
    <w:rsid w:val="005E4713"/>
    <w:rsid w:val="005E4FB4"/>
    <w:rsid w:val="005E519E"/>
    <w:rsid w:val="005E6546"/>
    <w:rsid w:val="005E69C9"/>
    <w:rsid w:val="005E7B92"/>
    <w:rsid w:val="005F016F"/>
    <w:rsid w:val="005F071A"/>
    <w:rsid w:val="005F0B59"/>
    <w:rsid w:val="005F0B97"/>
    <w:rsid w:val="005F0FAF"/>
    <w:rsid w:val="005F4422"/>
    <w:rsid w:val="005F4F6B"/>
    <w:rsid w:val="005F5457"/>
    <w:rsid w:val="005F5DFF"/>
    <w:rsid w:val="005F624A"/>
    <w:rsid w:val="005F6DA7"/>
    <w:rsid w:val="005F745A"/>
    <w:rsid w:val="005F76B6"/>
    <w:rsid w:val="00600B2F"/>
    <w:rsid w:val="006021C8"/>
    <w:rsid w:val="0060365C"/>
    <w:rsid w:val="00604752"/>
    <w:rsid w:val="00604C5F"/>
    <w:rsid w:val="00605D2F"/>
    <w:rsid w:val="00606A19"/>
    <w:rsid w:val="0060788A"/>
    <w:rsid w:val="00610EB0"/>
    <w:rsid w:val="0061195B"/>
    <w:rsid w:val="006124DE"/>
    <w:rsid w:val="006131DA"/>
    <w:rsid w:val="006148C4"/>
    <w:rsid w:val="00615B43"/>
    <w:rsid w:val="006168AE"/>
    <w:rsid w:val="00616DD7"/>
    <w:rsid w:val="00616E25"/>
    <w:rsid w:val="00617C57"/>
    <w:rsid w:val="00620856"/>
    <w:rsid w:val="00621806"/>
    <w:rsid w:val="00621BDE"/>
    <w:rsid w:val="00621E69"/>
    <w:rsid w:val="00621F66"/>
    <w:rsid w:val="006222E4"/>
    <w:rsid w:val="0062315F"/>
    <w:rsid w:val="00623AAD"/>
    <w:rsid w:val="00624454"/>
    <w:rsid w:val="0062445A"/>
    <w:rsid w:val="00624D43"/>
    <w:rsid w:val="006254D2"/>
    <w:rsid w:val="006267EE"/>
    <w:rsid w:val="00627A0A"/>
    <w:rsid w:val="00630C28"/>
    <w:rsid w:val="00630CAB"/>
    <w:rsid w:val="006334D8"/>
    <w:rsid w:val="00633AED"/>
    <w:rsid w:val="00634B29"/>
    <w:rsid w:val="00635839"/>
    <w:rsid w:val="00635F80"/>
    <w:rsid w:val="006361C8"/>
    <w:rsid w:val="006373CF"/>
    <w:rsid w:val="00641C0F"/>
    <w:rsid w:val="00642084"/>
    <w:rsid w:val="00642DA4"/>
    <w:rsid w:val="0064306F"/>
    <w:rsid w:val="006437AF"/>
    <w:rsid w:val="00643DAB"/>
    <w:rsid w:val="00643EE8"/>
    <w:rsid w:val="006441B5"/>
    <w:rsid w:val="00644E4D"/>
    <w:rsid w:val="0064530F"/>
    <w:rsid w:val="0064597E"/>
    <w:rsid w:val="00645B63"/>
    <w:rsid w:val="0064632B"/>
    <w:rsid w:val="00646495"/>
    <w:rsid w:val="006472B4"/>
    <w:rsid w:val="00647B70"/>
    <w:rsid w:val="00647D9D"/>
    <w:rsid w:val="006500AB"/>
    <w:rsid w:val="006505AD"/>
    <w:rsid w:val="00650608"/>
    <w:rsid w:val="00650DC4"/>
    <w:rsid w:val="006518AE"/>
    <w:rsid w:val="00652274"/>
    <w:rsid w:val="0065263D"/>
    <w:rsid w:val="0065322E"/>
    <w:rsid w:val="00653CD0"/>
    <w:rsid w:val="00654274"/>
    <w:rsid w:val="00654706"/>
    <w:rsid w:val="006574B5"/>
    <w:rsid w:val="006577B9"/>
    <w:rsid w:val="006602A0"/>
    <w:rsid w:val="00660369"/>
    <w:rsid w:val="0066040F"/>
    <w:rsid w:val="0066339A"/>
    <w:rsid w:val="006638CF"/>
    <w:rsid w:val="00663FBF"/>
    <w:rsid w:val="006644BD"/>
    <w:rsid w:val="00665C7B"/>
    <w:rsid w:val="00666F80"/>
    <w:rsid w:val="00667B5F"/>
    <w:rsid w:val="00672D76"/>
    <w:rsid w:val="00673614"/>
    <w:rsid w:val="0067384F"/>
    <w:rsid w:val="00673B60"/>
    <w:rsid w:val="00674570"/>
    <w:rsid w:val="006747D7"/>
    <w:rsid w:val="00674D95"/>
    <w:rsid w:val="00674E59"/>
    <w:rsid w:val="006750B6"/>
    <w:rsid w:val="006762E5"/>
    <w:rsid w:val="00677C7F"/>
    <w:rsid w:val="006801CC"/>
    <w:rsid w:val="00680D1C"/>
    <w:rsid w:val="00683F8C"/>
    <w:rsid w:val="00685262"/>
    <w:rsid w:val="006852CC"/>
    <w:rsid w:val="006857B7"/>
    <w:rsid w:val="00690E3B"/>
    <w:rsid w:val="00690E4F"/>
    <w:rsid w:val="00691F6B"/>
    <w:rsid w:val="0069400B"/>
    <w:rsid w:val="0069766F"/>
    <w:rsid w:val="006A06C3"/>
    <w:rsid w:val="006A09C8"/>
    <w:rsid w:val="006A3061"/>
    <w:rsid w:val="006A3C11"/>
    <w:rsid w:val="006A4A9E"/>
    <w:rsid w:val="006B089A"/>
    <w:rsid w:val="006B0DAF"/>
    <w:rsid w:val="006B1FDD"/>
    <w:rsid w:val="006B2742"/>
    <w:rsid w:val="006B2F02"/>
    <w:rsid w:val="006B4773"/>
    <w:rsid w:val="006B59F0"/>
    <w:rsid w:val="006B6365"/>
    <w:rsid w:val="006B645F"/>
    <w:rsid w:val="006B68ED"/>
    <w:rsid w:val="006B7968"/>
    <w:rsid w:val="006B7A23"/>
    <w:rsid w:val="006B7D33"/>
    <w:rsid w:val="006C0D5A"/>
    <w:rsid w:val="006C1A1C"/>
    <w:rsid w:val="006C286F"/>
    <w:rsid w:val="006C2B7B"/>
    <w:rsid w:val="006C4A7E"/>
    <w:rsid w:val="006C5A0D"/>
    <w:rsid w:val="006C6A71"/>
    <w:rsid w:val="006C7497"/>
    <w:rsid w:val="006C75F9"/>
    <w:rsid w:val="006C78BD"/>
    <w:rsid w:val="006C790D"/>
    <w:rsid w:val="006C7FBF"/>
    <w:rsid w:val="006D1A6A"/>
    <w:rsid w:val="006D2786"/>
    <w:rsid w:val="006D3434"/>
    <w:rsid w:val="006D3A29"/>
    <w:rsid w:val="006D3A4C"/>
    <w:rsid w:val="006D3FA1"/>
    <w:rsid w:val="006D604F"/>
    <w:rsid w:val="006D6B8E"/>
    <w:rsid w:val="006D74D6"/>
    <w:rsid w:val="006D7C32"/>
    <w:rsid w:val="006E0130"/>
    <w:rsid w:val="006E025F"/>
    <w:rsid w:val="006E0A11"/>
    <w:rsid w:val="006E11FB"/>
    <w:rsid w:val="006E2296"/>
    <w:rsid w:val="006E3084"/>
    <w:rsid w:val="006E4BA5"/>
    <w:rsid w:val="006E4D3B"/>
    <w:rsid w:val="006E6B83"/>
    <w:rsid w:val="006E6F39"/>
    <w:rsid w:val="006E7DB6"/>
    <w:rsid w:val="006F00CD"/>
    <w:rsid w:val="006F13F9"/>
    <w:rsid w:val="006F2838"/>
    <w:rsid w:val="006F288A"/>
    <w:rsid w:val="006F2D19"/>
    <w:rsid w:val="006F35C9"/>
    <w:rsid w:val="006F35D7"/>
    <w:rsid w:val="006F3FFE"/>
    <w:rsid w:val="006F4318"/>
    <w:rsid w:val="006F5781"/>
    <w:rsid w:val="006F6E1C"/>
    <w:rsid w:val="006F77B2"/>
    <w:rsid w:val="006F79CA"/>
    <w:rsid w:val="006F7E12"/>
    <w:rsid w:val="00700C09"/>
    <w:rsid w:val="00701670"/>
    <w:rsid w:val="007018B9"/>
    <w:rsid w:val="0070288D"/>
    <w:rsid w:val="00702B09"/>
    <w:rsid w:val="00704624"/>
    <w:rsid w:val="00704693"/>
    <w:rsid w:val="00704857"/>
    <w:rsid w:val="007056EA"/>
    <w:rsid w:val="00706749"/>
    <w:rsid w:val="00706AE8"/>
    <w:rsid w:val="00706D96"/>
    <w:rsid w:val="00712E0D"/>
    <w:rsid w:val="007149D3"/>
    <w:rsid w:val="00715931"/>
    <w:rsid w:val="0071650B"/>
    <w:rsid w:val="007168A1"/>
    <w:rsid w:val="00717D26"/>
    <w:rsid w:val="00720095"/>
    <w:rsid w:val="0072037D"/>
    <w:rsid w:val="007204B2"/>
    <w:rsid w:val="00723009"/>
    <w:rsid w:val="00723423"/>
    <w:rsid w:val="00723468"/>
    <w:rsid w:val="00723C09"/>
    <w:rsid w:val="007242BE"/>
    <w:rsid w:val="0072437E"/>
    <w:rsid w:val="007246D6"/>
    <w:rsid w:val="007264AC"/>
    <w:rsid w:val="00726D27"/>
    <w:rsid w:val="00726E62"/>
    <w:rsid w:val="007275E9"/>
    <w:rsid w:val="00727BF6"/>
    <w:rsid w:val="00727C8E"/>
    <w:rsid w:val="00727EA6"/>
    <w:rsid w:val="007327DD"/>
    <w:rsid w:val="00733399"/>
    <w:rsid w:val="00734ED2"/>
    <w:rsid w:val="007357D4"/>
    <w:rsid w:val="00736A6D"/>
    <w:rsid w:val="007372F9"/>
    <w:rsid w:val="007401F0"/>
    <w:rsid w:val="00740C74"/>
    <w:rsid w:val="00742240"/>
    <w:rsid w:val="007429F1"/>
    <w:rsid w:val="00742FAB"/>
    <w:rsid w:val="007435A1"/>
    <w:rsid w:val="007436B3"/>
    <w:rsid w:val="00744DE6"/>
    <w:rsid w:val="0074558A"/>
    <w:rsid w:val="007457D6"/>
    <w:rsid w:val="007459E6"/>
    <w:rsid w:val="007463B4"/>
    <w:rsid w:val="0074729A"/>
    <w:rsid w:val="00747A06"/>
    <w:rsid w:val="00747CCE"/>
    <w:rsid w:val="00750003"/>
    <w:rsid w:val="0075036B"/>
    <w:rsid w:val="00752563"/>
    <w:rsid w:val="00752837"/>
    <w:rsid w:val="00752CB4"/>
    <w:rsid w:val="00755B19"/>
    <w:rsid w:val="00755F4D"/>
    <w:rsid w:val="007561EF"/>
    <w:rsid w:val="0075733D"/>
    <w:rsid w:val="007575A4"/>
    <w:rsid w:val="00760329"/>
    <w:rsid w:val="00760F34"/>
    <w:rsid w:val="0076117A"/>
    <w:rsid w:val="00761471"/>
    <w:rsid w:val="00762110"/>
    <w:rsid w:val="00764A5C"/>
    <w:rsid w:val="00764FAB"/>
    <w:rsid w:val="0076507A"/>
    <w:rsid w:val="007652EA"/>
    <w:rsid w:val="007656DE"/>
    <w:rsid w:val="00766169"/>
    <w:rsid w:val="00766565"/>
    <w:rsid w:val="007670F1"/>
    <w:rsid w:val="007676F0"/>
    <w:rsid w:val="00770013"/>
    <w:rsid w:val="00770A6B"/>
    <w:rsid w:val="0077141F"/>
    <w:rsid w:val="0077164D"/>
    <w:rsid w:val="00773DA9"/>
    <w:rsid w:val="00774A4A"/>
    <w:rsid w:val="007760E3"/>
    <w:rsid w:val="0078011A"/>
    <w:rsid w:val="007807DF"/>
    <w:rsid w:val="00780850"/>
    <w:rsid w:val="00780A88"/>
    <w:rsid w:val="0078153F"/>
    <w:rsid w:val="00783194"/>
    <w:rsid w:val="007834FA"/>
    <w:rsid w:val="00783B46"/>
    <w:rsid w:val="00783F6F"/>
    <w:rsid w:val="00785111"/>
    <w:rsid w:val="00785590"/>
    <w:rsid w:val="00785E25"/>
    <w:rsid w:val="007863D7"/>
    <w:rsid w:val="00787760"/>
    <w:rsid w:val="00787D5E"/>
    <w:rsid w:val="0079073F"/>
    <w:rsid w:val="00790B10"/>
    <w:rsid w:val="007920DB"/>
    <w:rsid w:val="007922D6"/>
    <w:rsid w:val="00794406"/>
    <w:rsid w:val="0079617B"/>
    <w:rsid w:val="007A0843"/>
    <w:rsid w:val="007A13CB"/>
    <w:rsid w:val="007A1637"/>
    <w:rsid w:val="007A401F"/>
    <w:rsid w:val="007A44AA"/>
    <w:rsid w:val="007A5440"/>
    <w:rsid w:val="007A5564"/>
    <w:rsid w:val="007A658C"/>
    <w:rsid w:val="007A6672"/>
    <w:rsid w:val="007B1111"/>
    <w:rsid w:val="007B22B1"/>
    <w:rsid w:val="007B2555"/>
    <w:rsid w:val="007B487C"/>
    <w:rsid w:val="007B5EB5"/>
    <w:rsid w:val="007B602A"/>
    <w:rsid w:val="007B70E7"/>
    <w:rsid w:val="007C09CD"/>
    <w:rsid w:val="007C14E6"/>
    <w:rsid w:val="007C1DC5"/>
    <w:rsid w:val="007C2208"/>
    <w:rsid w:val="007C22D2"/>
    <w:rsid w:val="007C2B14"/>
    <w:rsid w:val="007C4592"/>
    <w:rsid w:val="007C4618"/>
    <w:rsid w:val="007C4A1C"/>
    <w:rsid w:val="007C508A"/>
    <w:rsid w:val="007C6932"/>
    <w:rsid w:val="007C7805"/>
    <w:rsid w:val="007D024A"/>
    <w:rsid w:val="007D0263"/>
    <w:rsid w:val="007D1052"/>
    <w:rsid w:val="007D1522"/>
    <w:rsid w:val="007D3A66"/>
    <w:rsid w:val="007D4054"/>
    <w:rsid w:val="007D4502"/>
    <w:rsid w:val="007D5F7B"/>
    <w:rsid w:val="007D68F7"/>
    <w:rsid w:val="007D7FF0"/>
    <w:rsid w:val="007E0221"/>
    <w:rsid w:val="007E069C"/>
    <w:rsid w:val="007E111E"/>
    <w:rsid w:val="007E11ED"/>
    <w:rsid w:val="007E1428"/>
    <w:rsid w:val="007E2ADE"/>
    <w:rsid w:val="007E33BF"/>
    <w:rsid w:val="007E3BF4"/>
    <w:rsid w:val="007E46B3"/>
    <w:rsid w:val="007E498E"/>
    <w:rsid w:val="007E5081"/>
    <w:rsid w:val="007E5912"/>
    <w:rsid w:val="007E5A49"/>
    <w:rsid w:val="007E5F0A"/>
    <w:rsid w:val="007E6697"/>
    <w:rsid w:val="007E79E8"/>
    <w:rsid w:val="007F341B"/>
    <w:rsid w:val="007F34C3"/>
    <w:rsid w:val="007F4D3E"/>
    <w:rsid w:val="007F50F6"/>
    <w:rsid w:val="007F5944"/>
    <w:rsid w:val="007F59D1"/>
    <w:rsid w:val="007F61A3"/>
    <w:rsid w:val="007F61B5"/>
    <w:rsid w:val="007F694E"/>
    <w:rsid w:val="007F7069"/>
    <w:rsid w:val="007F7B5A"/>
    <w:rsid w:val="00800F07"/>
    <w:rsid w:val="00801CFC"/>
    <w:rsid w:val="00801E14"/>
    <w:rsid w:val="0080263D"/>
    <w:rsid w:val="00802691"/>
    <w:rsid w:val="00802E89"/>
    <w:rsid w:val="008033AA"/>
    <w:rsid w:val="008040E4"/>
    <w:rsid w:val="008041BD"/>
    <w:rsid w:val="008044E8"/>
    <w:rsid w:val="008057B4"/>
    <w:rsid w:val="0080686A"/>
    <w:rsid w:val="0081010F"/>
    <w:rsid w:val="008106D8"/>
    <w:rsid w:val="00811FB2"/>
    <w:rsid w:val="0081212C"/>
    <w:rsid w:val="00812DA7"/>
    <w:rsid w:val="008132D5"/>
    <w:rsid w:val="0081393D"/>
    <w:rsid w:val="00813BDE"/>
    <w:rsid w:val="00813C60"/>
    <w:rsid w:val="008140C0"/>
    <w:rsid w:val="008148E5"/>
    <w:rsid w:val="00814CF9"/>
    <w:rsid w:val="00814E5D"/>
    <w:rsid w:val="00815399"/>
    <w:rsid w:val="008155B6"/>
    <w:rsid w:val="00815777"/>
    <w:rsid w:val="00815D12"/>
    <w:rsid w:val="00816BDC"/>
    <w:rsid w:val="008203FA"/>
    <w:rsid w:val="00821A6E"/>
    <w:rsid w:val="00822F1F"/>
    <w:rsid w:val="00823992"/>
    <w:rsid w:val="00824DB7"/>
    <w:rsid w:val="00825269"/>
    <w:rsid w:val="00825E96"/>
    <w:rsid w:val="0083127C"/>
    <w:rsid w:val="008321D5"/>
    <w:rsid w:val="00833999"/>
    <w:rsid w:val="00834427"/>
    <w:rsid w:val="0083561D"/>
    <w:rsid w:val="0083595D"/>
    <w:rsid w:val="008362F1"/>
    <w:rsid w:val="008369BA"/>
    <w:rsid w:val="00837B1D"/>
    <w:rsid w:val="00837C1B"/>
    <w:rsid w:val="00840916"/>
    <w:rsid w:val="0084127C"/>
    <w:rsid w:val="00842629"/>
    <w:rsid w:val="008439B1"/>
    <w:rsid w:val="00844EB9"/>
    <w:rsid w:val="00845C03"/>
    <w:rsid w:val="00845DE7"/>
    <w:rsid w:val="0084630D"/>
    <w:rsid w:val="00847B76"/>
    <w:rsid w:val="00851C79"/>
    <w:rsid w:val="00851D8C"/>
    <w:rsid w:val="008522E4"/>
    <w:rsid w:val="008525CC"/>
    <w:rsid w:val="00854D0C"/>
    <w:rsid w:val="00855A92"/>
    <w:rsid w:val="00860453"/>
    <w:rsid w:val="0086053E"/>
    <w:rsid w:val="008615A4"/>
    <w:rsid w:val="0086268F"/>
    <w:rsid w:val="00864C65"/>
    <w:rsid w:val="00864EAB"/>
    <w:rsid w:val="0086551E"/>
    <w:rsid w:val="00865F6A"/>
    <w:rsid w:val="0087252B"/>
    <w:rsid w:val="008727DC"/>
    <w:rsid w:val="0087289C"/>
    <w:rsid w:val="00873999"/>
    <w:rsid w:val="00873A99"/>
    <w:rsid w:val="008743C3"/>
    <w:rsid w:val="008743E1"/>
    <w:rsid w:val="00876BEC"/>
    <w:rsid w:val="008820E5"/>
    <w:rsid w:val="00882A03"/>
    <w:rsid w:val="00883193"/>
    <w:rsid w:val="00883400"/>
    <w:rsid w:val="00884D97"/>
    <w:rsid w:val="0088532D"/>
    <w:rsid w:val="0088606E"/>
    <w:rsid w:val="00886B72"/>
    <w:rsid w:val="008875CC"/>
    <w:rsid w:val="00887DB2"/>
    <w:rsid w:val="008909A4"/>
    <w:rsid w:val="00892F6A"/>
    <w:rsid w:val="00893F8F"/>
    <w:rsid w:val="008941FE"/>
    <w:rsid w:val="00895975"/>
    <w:rsid w:val="00896436"/>
    <w:rsid w:val="008969B8"/>
    <w:rsid w:val="00897CD6"/>
    <w:rsid w:val="008A03EF"/>
    <w:rsid w:val="008A06A7"/>
    <w:rsid w:val="008A0F2C"/>
    <w:rsid w:val="008A12FE"/>
    <w:rsid w:val="008A1EDA"/>
    <w:rsid w:val="008A37A4"/>
    <w:rsid w:val="008A4E1F"/>
    <w:rsid w:val="008A5046"/>
    <w:rsid w:val="008A56FE"/>
    <w:rsid w:val="008A6071"/>
    <w:rsid w:val="008A733E"/>
    <w:rsid w:val="008A753D"/>
    <w:rsid w:val="008A7A78"/>
    <w:rsid w:val="008A7AEB"/>
    <w:rsid w:val="008B11DB"/>
    <w:rsid w:val="008B128C"/>
    <w:rsid w:val="008B3B8C"/>
    <w:rsid w:val="008B4CA2"/>
    <w:rsid w:val="008B51F5"/>
    <w:rsid w:val="008B5742"/>
    <w:rsid w:val="008B5B03"/>
    <w:rsid w:val="008B682D"/>
    <w:rsid w:val="008C0235"/>
    <w:rsid w:val="008C0D55"/>
    <w:rsid w:val="008C0D85"/>
    <w:rsid w:val="008C0FF0"/>
    <w:rsid w:val="008C1542"/>
    <w:rsid w:val="008C3B6E"/>
    <w:rsid w:val="008C42F9"/>
    <w:rsid w:val="008C43DA"/>
    <w:rsid w:val="008C51CA"/>
    <w:rsid w:val="008C74FE"/>
    <w:rsid w:val="008C7D9F"/>
    <w:rsid w:val="008D0CA3"/>
    <w:rsid w:val="008D0D93"/>
    <w:rsid w:val="008D102F"/>
    <w:rsid w:val="008D16E0"/>
    <w:rsid w:val="008D1A6D"/>
    <w:rsid w:val="008D207B"/>
    <w:rsid w:val="008D3329"/>
    <w:rsid w:val="008D3B13"/>
    <w:rsid w:val="008D3E8E"/>
    <w:rsid w:val="008D4E2D"/>
    <w:rsid w:val="008D4E50"/>
    <w:rsid w:val="008D57F5"/>
    <w:rsid w:val="008D7501"/>
    <w:rsid w:val="008D7F13"/>
    <w:rsid w:val="008E0989"/>
    <w:rsid w:val="008E0DDC"/>
    <w:rsid w:val="008E300B"/>
    <w:rsid w:val="008E3A43"/>
    <w:rsid w:val="008E3E5A"/>
    <w:rsid w:val="008E40B4"/>
    <w:rsid w:val="008E442E"/>
    <w:rsid w:val="008E4CCB"/>
    <w:rsid w:val="008E6353"/>
    <w:rsid w:val="008E63B4"/>
    <w:rsid w:val="008E6683"/>
    <w:rsid w:val="008E755A"/>
    <w:rsid w:val="008E7A31"/>
    <w:rsid w:val="008E7FD0"/>
    <w:rsid w:val="008F0C63"/>
    <w:rsid w:val="008F216D"/>
    <w:rsid w:val="008F293A"/>
    <w:rsid w:val="008F33F8"/>
    <w:rsid w:val="008F49DE"/>
    <w:rsid w:val="008F5271"/>
    <w:rsid w:val="008F5792"/>
    <w:rsid w:val="00900820"/>
    <w:rsid w:val="0090178F"/>
    <w:rsid w:val="009017BA"/>
    <w:rsid w:val="009029B2"/>
    <w:rsid w:val="00903EC2"/>
    <w:rsid w:val="00903EE4"/>
    <w:rsid w:val="009064D2"/>
    <w:rsid w:val="00907089"/>
    <w:rsid w:val="00907218"/>
    <w:rsid w:val="00910025"/>
    <w:rsid w:val="0091022B"/>
    <w:rsid w:val="009102D4"/>
    <w:rsid w:val="00910D6D"/>
    <w:rsid w:val="00911ABE"/>
    <w:rsid w:val="0091247F"/>
    <w:rsid w:val="00913037"/>
    <w:rsid w:val="0091370C"/>
    <w:rsid w:val="009142E6"/>
    <w:rsid w:val="00914890"/>
    <w:rsid w:val="00916627"/>
    <w:rsid w:val="00916666"/>
    <w:rsid w:val="0091705E"/>
    <w:rsid w:val="0091775A"/>
    <w:rsid w:val="0091787F"/>
    <w:rsid w:val="0092063C"/>
    <w:rsid w:val="00920813"/>
    <w:rsid w:val="00921CB0"/>
    <w:rsid w:val="00922EE4"/>
    <w:rsid w:val="0092379B"/>
    <w:rsid w:val="0092389C"/>
    <w:rsid w:val="00926055"/>
    <w:rsid w:val="00927001"/>
    <w:rsid w:val="009301C4"/>
    <w:rsid w:val="00930DDA"/>
    <w:rsid w:val="00931432"/>
    <w:rsid w:val="00931ABA"/>
    <w:rsid w:val="0093237F"/>
    <w:rsid w:val="0093256D"/>
    <w:rsid w:val="00932E72"/>
    <w:rsid w:val="009331D4"/>
    <w:rsid w:val="00933F12"/>
    <w:rsid w:val="00934A2F"/>
    <w:rsid w:val="00934CA2"/>
    <w:rsid w:val="00935325"/>
    <w:rsid w:val="0093592B"/>
    <w:rsid w:val="00935957"/>
    <w:rsid w:val="009359A5"/>
    <w:rsid w:val="00935A93"/>
    <w:rsid w:val="00936BD1"/>
    <w:rsid w:val="00936C01"/>
    <w:rsid w:val="0093774A"/>
    <w:rsid w:val="00937880"/>
    <w:rsid w:val="0094083E"/>
    <w:rsid w:val="00941356"/>
    <w:rsid w:val="009431CD"/>
    <w:rsid w:val="00944196"/>
    <w:rsid w:val="009457F3"/>
    <w:rsid w:val="00945CD9"/>
    <w:rsid w:val="00945D9A"/>
    <w:rsid w:val="00946325"/>
    <w:rsid w:val="00946949"/>
    <w:rsid w:val="00946CB3"/>
    <w:rsid w:val="009473EF"/>
    <w:rsid w:val="009505E0"/>
    <w:rsid w:val="00950E6C"/>
    <w:rsid w:val="00951086"/>
    <w:rsid w:val="00953ABB"/>
    <w:rsid w:val="00953B00"/>
    <w:rsid w:val="00955331"/>
    <w:rsid w:val="0095548B"/>
    <w:rsid w:val="009576A4"/>
    <w:rsid w:val="0095774D"/>
    <w:rsid w:val="009626F0"/>
    <w:rsid w:val="00964142"/>
    <w:rsid w:val="00964862"/>
    <w:rsid w:val="009656A2"/>
    <w:rsid w:val="009659EE"/>
    <w:rsid w:val="0096738B"/>
    <w:rsid w:val="0097015D"/>
    <w:rsid w:val="0097093C"/>
    <w:rsid w:val="009709C4"/>
    <w:rsid w:val="00970F67"/>
    <w:rsid w:val="00971F95"/>
    <w:rsid w:val="00972470"/>
    <w:rsid w:val="00972546"/>
    <w:rsid w:val="00973335"/>
    <w:rsid w:val="00974996"/>
    <w:rsid w:val="00975555"/>
    <w:rsid w:val="00975ACB"/>
    <w:rsid w:val="00976BE0"/>
    <w:rsid w:val="00980818"/>
    <w:rsid w:val="0098128E"/>
    <w:rsid w:val="0098164A"/>
    <w:rsid w:val="00982542"/>
    <w:rsid w:val="009827C3"/>
    <w:rsid w:val="00984307"/>
    <w:rsid w:val="00984389"/>
    <w:rsid w:val="00984D94"/>
    <w:rsid w:val="00985774"/>
    <w:rsid w:val="00985C55"/>
    <w:rsid w:val="00985D33"/>
    <w:rsid w:val="00985F86"/>
    <w:rsid w:val="00990875"/>
    <w:rsid w:val="00990B0B"/>
    <w:rsid w:val="00990BE8"/>
    <w:rsid w:val="00991044"/>
    <w:rsid w:val="00991203"/>
    <w:rsid w:val="0099246C"/>
    <w:rsid w:val="00994731"/>
    <w:rsid w:val="00995145"/>
    <w:rsid w:val="009954BE"/>
    <w:rsid w:val="0099586F"/>
    <w:rsid w:val="00995AB3"/>
    <w:rsid w:val="00997A3A"/>
    <w:rsid w:val="009A6007"/>
    <w:rsid w:val="009A68CC"/>
    <w:rsid w:val="009A7C76"/>
    <w:rsid w:val="009A7EF7"/>
    <w:rsid w:val="009B02E7"/>
    <w:rsid w:val="009B06D5"/>
    <w:rsid w:val="009B26F3"/>
    <w:rsid w:val="009B4792"/>
    <w:rsid w:val="009B546C"/>
    <w:rsid w:val="009B5D34"/>
    <w:rsid w:val="009B5D64"/>
    <w:rsid w:val="009B5FE1"/>
    <w:rsid w:val="009B752D"/>
    <w:rsid w:val="009C0486"/>
    <w:rsid w:val="009C0E49"/>
    <w:rsid w:val="009C1055"/>
    <w:rsid w:val="009C19CA"/>
    <w:rsid w:val="009C1A0D"/>
    <w:rsid w:val="009C1F03"/>
    <w:rsid w:val="009C3AB4"/>
    <w:rsid w:val="009C4945"/>
    <w:rsid w:val="009C5EA8"/>
    <w:rsid w:val="009C705E"/>
    <w:rsid w:val="009D0527"/>
    <w:rsid w:val="009D0BEB"/>
    <w:rsid w:val="009D1C38"/>
    <w:rsid w:val="009D239B"/>
    <w:rsid w:val="009D2766"/>
    <w:rsid w:val="009D4730"/>
    <w:rsid w:val="009D4A0B"/>
    <w:rsid w:val="009D5E41"/>
    <w:rsid w:val="009D6C56"/>
    <w:rsid w:val="009D737A"/>
    <w:rsid w:val="009D7799"/>
    <w:rsid w:val="009D7D46"/>
    <w:rsid w:val="009E0CEE"/>
    <w:rsid w:val="009E10A2"/>
    <w:rsid w:val="009E1291"/>
    <w:rsid w:val="009E1BB7"/>
    <w:rsid w:val="009E41BD"/>
    <w:rsid w:val="009E46F7"/>
    <w:rsid w:val="009E480A"/>
    <w:rsid w:val="009E559A"/>
    <w:rsid w:val="009E5904"/>
    <w:rsid w:val="009E5A6F"/>
    <w:rsid w:val="009E6444"/>
    <w:rsid w:val="009E6619"/>
    <w:rsid w:val="009E67C6"/>
    <w:rsid w:val="009E6F71"/>
    <w:rsid w:val="009E7110"/>
    <w:rsid w:val="009E7874"/>
    <w:rsid w:val="009E7FB6"/>
    <w:rsid w:val="009F0686"/>
    <w:rsid w:val="009F0701"/>
    <w:rsid w:val="009F1D03"/>
    <w:rsid w:val="009F255F"/>
    <w:rsid w:val="009F46ED"/>
    <w:rsid w:val="009F5053"/>
    <w:rsid w:val="009F50F3"/>
    <w:rsid w:val="009F5271"/>
    <w:rsid w:val="009F7361"/>
    <w:rsid w:val="009F7A52"/>
    <w:rsid w:val="009F7FD7"/>
    <w:rsid w:val="00A0297B"/>
    <w:rsid w:val="00A03FD4"/>
    <w:rsid w:val="00A05688"/>
    <w:rsid w:val="00A05AAB"/>
    <w:rsid w:val="00A05BB5"/>
    <w:rsid w:val="00A0684D"/>
    <w:rsid w:val="00A06B01"/>
    <w:rsid w:val="00A11C47"/>
    <w:rsid w:val="00A12A2A"/>
    <w:rsid w:val="00A12B61"/>
    <w:rsid w:val="00A13D78"/>
    <w:rsid w:val="00A14005"/>
    <w:rsid w:val="00A14170"/>
    <w:rsid w:val="00A14805"/>
    <w:rsid w:val="00A14B29"/>
    <w:rsid w:val="00A15586"/>
    <w:rsid w:val="00A15A27"/>
    <w:rsid w:val="00A15B0E"/>
    <w:rsid w:val="00A2136A"/>
    <w:rsid w:val="00A22E6C"/>
    <w:rsid w:val="00A2364B"/>
    <w:rsid w:val="00A242FD"/>
    <w:rsid w:val="00A2489B"/>
    <w:rsid w:val="00A24F44"/>
    <w:rsid w:val="00A30144"/>
    <w:rsid w:val="00A312D3"/>
    <w:rsid w:val="00A3288C"/>
    <w:rsid w:val="00A32D46"/>
    <w:rsid w:val="00A34456"/>
    <w:rsid w:val="00A360B0"/>
    <w:rsid w:val="00A361DB"/>
    <w:rsid w:val="00A36507"/>
    <w:rsid w:val="00A36A8C"/>
    <w:rsid w:val="00A40F7E"/>
    <w:rsid w:val="00A41B4D"/>
    <w:rsid w:val="00A41C84"/>
    <w:rsid w:val="00A43198"/>
    <w:rsid w:val="00A43F63"/>
    <w:rsid w:val="00A44DC8"/>
    <w:rsid w:val="00A4581A"/>
    <w:rsid w:val="00A45F0B"/>
    <w:rsid w:val="00A4692F"/>
    <w:rsid w:val="00A47706"/>
    <w:rsid w:val="00A47AA0"/>
    <w:rsid w:val="00A5043D"/>
    <w:rsid w:val="00A5154E"/>
    <w:rsid w:val="00A52A82"/>
    <w:rsid w:val="00A55187"/>
    <w:rsid w:val="00A55435"/>
    <w:rsid w:val="00A554B6"/>
    <w:rsid w:val="00A5763F"/>
    <w:rsid w:val="00A60C32"/>
    <w:rsid w:val="00A614E6"/>
    <w:rsid w:val="00A61D95"/>
    <w:rsid w:val="00A61EAB"/>
    <w:rsid w:val="00A62C7C"/>
    <w:rsid w:val="00A63922"/>
    <w:rsid w:val="00A64369"/>
    <w:rsid w:val="00A6481D"/>
    <w:rsid w:val="00A64838"/>
    <w:rsid w:val="00A64C3C"/>
    <w:rsid w:val="00A6504C"/>
    <w:rsid w:val="00A651FD"/>
    <w:rsid w:val="00A6552B"/>
    <w:rsid w:val="00A65F92"/>
    <w:rsid w:val="00A660CE"/>
    <w:rsid w:val="00A669E4"/>
    <w:rsid w:val="00A67465"/>
    <w:rsid w:val="00A679F0"/>
    <w:rsid w:val="00A70D1C"/>
    <w:rsid w:val="00A70D4B"/>
    <w:rsid w:val="00A70E4F"/>
    <w:rsid w:val="00A70FA8"/>
    <w:rsid w:val="00A71E22"/>
    <w:rsid w:val="00A7202A"/>
    <w:rsid w:val="00A7233C"/>
    <w:rsid w:val="00A73433"/>
    <w:rsid w:val="00A73B2F"/>
    <w:rsid w:val="00A745B3"/>
    <w:rsid w:val="00A746E0"/>
    <w:rsid w:val="00A75050"/>
    <w:rsid w:val="00A7594A"/>
    <w:rsid w:val="00A75D8E"/>
    <w:rsid w:val="00A75EE9"/>
    <w:rsid w:val="00A76239"/>
    <w:rsid w:val="00A76A2B"/>
    <w:rsid w:val="00A76C62"/>
    <w:rsid w:val="00A776D8"/>
    <w:rsid w:val="00A77C08"/>
    <w:rsid w:val="00A80379"/>
    <w:rsid w:val="00A80BA4"/>
    <w:rsid w:val="00A81BB0"/>
    <w:rsid w:val="00A8266D"/>
    <w:rsid w:val="00A82C16"/>
    <w:rsid w:val="00A8300F"/>
    <w:rsid w:val="00A8352F"/>
    <w:rsid w:val="00A84065"/>
    <w:rsid w:val="00A84647"/>
    <w:rsid w:val="00A84C41"/>
    <w:rsid w:val="00A90337"/>
    <w:rsid w:val="00A90894"/>
    <w:rsid w:val="00A92C98"/>
    <w:rsid w:val="00A93439"/>
    <w:rsid w:val="00A947B8"/>
    <w:rsid w:val="00A94D60"/>
    <w:rsid w:val="00A9526A"/>
    <w:rsid w:val="00A96B08"/>
    <w:rsid w:val="00AA01E4"/>
    <w:rsid w:val="00AA074F"/>
    <w:rsid w:val="00AA134F"/>
    <w:rsid w:val="00AA2764"/>
    <w:rsid w:val="00AA31A1"/>
    <w:rsid w:val="00AA34D2"/>
    <w:rsid w:val="00AA5646"/>
    <w:rsid w:val="00AA6517"/>
    <w:rsid w:val="00AB0199"/>
    <w:rsid w:val="00AB039C"/>
    <w:rsid w:val="00AB042B"/>
    <w:rsid w:val="00AB1924"/>
    <w:rsid w:val="00AB29BD"/>
    <w:rsid w:val="00AB4890"/>
    <w:rsid w:val="00AB4C62"/>
    <w:rsid w:val="00AB51F5"/>
    <w:rsid w:val="00AB797C"/>
    <w:rsid w:val="00AC0F01"/>
    <w:rsid w:val="00AC1AFB"/>
    <w:rsid w:val="00AC2193"/>
    <w:rsid w:val="00AC2272"/>
    <w:rsid w:val="00AC363D"/>
    <w:rsid w:val="00AC3C05"/>
    <w:rsid w:val="00AC5463"/>
    <w:rsid w:val="00AC54B1"/>
    <w:rsid w:val="00AC6511"/>
    <w:rsid w:val="00AC688D"/>
    <w:rsid w:val="00AC793F"/>
    <w:rsid w:val="00AC79CE"/>
    <w:rsid w:val="00AC7F44"/>
    <w:rsid w:val="00AD0D7D"/>
    <w:rsid w:val="00AD19BD"/>
    <w:rsid w:val="00AD30C8"/>
    <w:rsid w:val="00AD372D"/>
    <w:rsid w:val="00AD461F"/>
    <w:rsid w:val="00AD5F00"/>
    <w:rsid w:val="00AD6338"/>
    <w:rsid w:val="00AD672D"/>
    <w:rsid w:val="00AD6893"/>
    <w:rsid w:val="00AD68B3"/>
    <w:rsid w:val="00AD6B43"/>
    <w:rsid w:val="00AE2401"/>
    <w:rsid w:val="00AE2573"/>
    <w:rsid w:val="00AE2933"/>
    <w:rsid w:val="00AE34A9"/>
    <w:rsid w:val="00AE55FB"/>
    <w:rsid w:val="00AE5C24"/>
    <w:rsid w:val="00AE6FAC"/>
    <w:rsid w:val="00AE718C"/>
    <w:rsid w:val="00AF1E82"/>
    <w:rsid w:val="00AF217F"/>
    <w:rsid w:val="00AF27E2"/>
    <w:rsid w:val="00AF2B25"/>
    <w:rsid w:val="00AF2EF3"/>
    <w:rsid w:val="00AF3C2D"/>
    <w:rsid w:val="00AF4161"/>
    <w:rsid w:val="00AF4EDC"/>
    <w:rsid w:val="00AF5B15"/>
    <w:rsid w:val="00AF6AA6"/>
    <w:rsid w:val="00AF6D1D"/>
    <w:rsid w:val="00AF7F83"/>
    <w:rsid w:val="00B00122"/>
    <w:rsid w:val="00B01DF7"/>
    <w:rsid w:val="00B03F55"/>
    <w:rsid w:val="00B04BE0"/>
    <w:rsid w:val="00B04CEE"/>
    <w:rsid w:val="00B05609"/>
    <w:rsid w:val="00B06163"/>
    <w:rsid w:val="00B075DC"/>
    <w:rsid w:val="00B07925"/>
    <w:rsid w:val="00B07CF2"/>
    <w:rsid w:val="00B122FA"/>
    <w:rsid w:val="00B12ECC"/>
    <w:rsid w:val="00B1349F"/>
    <w:rsid w:val="00B14FFF"/>
    <w:rsid w:val="00B15840"/>
    <w:rsid w:val="00B15DF8"/>
    <w:rsid w:val="00B20D92"/>
    <w:rsid w:val="00B21E89"/>
    <w:rsid w:val="00B23564"/>
    <w:rsid w:val="00B23C93"/>
    <w:rsid w:val="00B24A4E"/>
    <w:rsid w:val="00B24E34"/>
    <w:rsid w:val="00B25597"/>
    <w:rsid w:val="00B26286"/>
    <w:rsid w:val="00B2645A"/>
    <w:rsid w:val="00B27090"/>
    <w:rsid w:val="00B2757A"/>
    <w:rsid w:val="00B311AA"/>
    <w:rsid w:val="00B31706"/>
    <w:rsid w:val="00B33B7C"/>
    <w:rsid w:val="00B33DAF"/>
    <w:rsid w:val="00B34907"/>
    <w:rsid w:val="00B3611F"/>
    <w:rsid w:val="00B36ADA"/>
    <w:rsid w:val="00B370CD"/>
    <w:rsid w:val="00B375FA"/>
    <w:rsid w:val="00B411E7"/>
    <w:rsid w:val="00B41BC3"/>
    <w:rsid w:val="00B42E19"/>
    <w:rsid w:val="00B438EF"/>
    <w:rsid w:val="00B439E9"/>
    <w:rsid w:val="00B45476"/>
    <w:rsid w:val="00B50ACB"/>
    <w:rsid w:val="00B52125"/>
    <w:rsid w:val="00B531EE"/>
    <w:rsid w:val="00B53BD0"/>
    <w:rsid w:val="00B53EE0"/>
    <w:rsid w:val="00B53FE3"/>
    <w:rsid w:val="00B53FE5"/>
    <w:rsid w:val="00B560E3"/>
    <w:rsid w:val="00B56279"/>
    <w:rsid w:val="00B56688"/>
    <w:rsid w:val="00B568E8"/>
    <w:rsid w:val="00B56AA8"/>
    <w:rsid w:val="00B56BF4"/>
    <w:rsid w:val="00B572D3"/>
    <w:rsid w:val="00B573B4"/>
    <w:rsid w:val="00B60A9F"/>
    <w:rsid w:val="00B61FFC"/>
    <w:rsid w:val="00B62F69"/>
    <w:rsid w:val="00B63A78"/>
    <w:rsid w:val="00B648AC"/>
    <w:rsid w:val="00B64F5F"/>
    <w:rsid w:val="00B67B90"/>
    <w:rsid w:val="00B703BC"/>
    <w:rsid w:val="00B70BCD"/>
    <w:rsid w:val="00B721BF"/>
    <w:rsid w:val="00B72D97"/>
    <w:rsid w:val="00B74915"/>
    <w:rsid w:val="00B76162"/>
    <w:rsid w:val="00B76A59"/>
    <w:rsid w:val="00B77B58"/>
    <w:rsid w:val="00B77DA4"/>
    <w:rsid w:val="00B804CB"/>
    <w:rsid w:val="00B817BD"/>
    <w:rsid w:val="00B83811"/>
    <w:rsid w:val="00B83CCE"/>
    <w:rsid w:val="00B840B0"/>
    <w:rsid w:val="00B8443E"/>
    <w:rsid w:val="00B84859"/>
    <w:rsid w:val="00B853AA"/>
    <w:rsid w:val="00B90784"/>
    <w:rsid w:val="00B91E81"/>
    <w:rsid w:val="00B9439B"/>
    <w:rsid w:val="00B9463C"/>
    <w:rsid w:val="00B94FAD"/>
    <w:rsid w:val="00B9507E"/>
    <w:rsid w:val="00B952BF"/>
    <w:rsid w:val="00B96904"/>
    <w:rsid w:val="00B96DDA"/>
    <w:rsid w:val="00BA0194"/>
    <w:rsid w:val="00BA06D3"/>
    <w:rsid w:val="00BA0C6B"/>
    <w:rsid w:val="00BA0D21"/>
    <w:rsid w:val="00BA0DEC"/>
    <w:rsid w:val="00BA1598"/>
    <w:rsid w:val="00BA24DC"/>
    <w:rsid w:val="00BA2686"/>
    <w:rsid w:val="00BA2968"/>
    <w:rsid w:val="00BA29D6"/>
    <w:rsid w:val="00BA3A17"/>
    <w:rsid w:val="00BA3A9D"/>
    <w:rsid w:val="00BA412A"/>
    <w:rsid w:val="00BA42C7"/>
    <w:rsid w:val="00BA551A"/>
    <w:rsid w:val="00BA61DD"/>
    <w:rsid w:val="00BB0467"/>
    <w:rsid w:val="00BB0AE6"/>
    <w:rsid w:val="00BB136E"/>
    <w:rsid w:val="00BB1977"/>
    <w:rsid w:val="00BB4B4F"/>
    <w:rsid w:val="00BC09D0"/>
    <w:rsid w:val="00BC0CD3"/>
    <w:rsid w:val="00BC106B"/>
    <w:rsid w:val="00BC3240"/>
    <w:rsid w:val="00BC3761"/>
    <w:rsid w:val="00BC3C3A"/>
    <w:rsid w:val="00BC469A"/>
    <w:rsid w:val="00BC52E7"/>
    <w:rsid w:val="00BC776B"/>
    <w:rsid w:val="00BD03A6"/>
    <w:rsid w:val="00BD075D"/>
    <w:rsid w:val="00BD159E"/>
    <w:rsid w:val="00BD244F"/>
    <w:rsid w:val="00BD2A1E"/>
    <w:rsid w:val="00BD45AF"/>
    <w:rsid w:val="00BD4C2D"/>
    <w:rsid w:val="00BD776A"/>
    <w:rsid w:val="00BD7881"/>
    <w:rsid w:val="00BD7C32"/>
    <w:rsid w:val="00BD7D72"/>
    <w:rsid w:val="00BD7FEE"/>
    <w:rsid w:val="00BE1F44"/>
    <w:rsid w:val="00BE3944"/>
    <w:rsid w:val="00BE6A30"/>
    <w:rsid w:val="00BE6E14"/>
    <w:rsid w:val="00BE6E60"/>
    <w:rsid w:val="00BE7087"/>
    <w:rsid w:val="00BF028E"/>
    <w:rsid w:val="00BF0F69"/>
    <w:rsid w:val="00BF1504"/>
    <w:rsid w:val="00BF16D5"/>
    <w:rsid w:val="00BF2546"/>
    <w:rsid w:val="00BF5504"/>
    <w:rsid w:val="00BF5B7F"/>
    <w:rsid w:val="00BF7372"/>
    <w:rsid w:val="00BF7390"/>
    <w:rsid w:val="00C01C4A"/>
    <w:rsid w:val="00C01D8E"/>
    <w:rsid w:val="00C030CF"/>
    <w:rsid w:val="00C037F1"/>
    <w:rsid w:val="00C03D76"/>
    <w:rsid w:val="00C04762"/>
    <w:rsid w:val="00C04D90"/>
    <w:rsid w:val="00C050C7"/>
    <w:rsid w:val="00C0572E"/>
    <w:rsid w:val="00C05BAB"/>
    <w:rsid w:val="00C068B6"/>
    <w:rsid w:val="00C06943"/>
    <w:rsid w:val="00C07689"/>
    <w:rsid w:val="00C07B98"/>
    <w:rsid w:val="00C10920"/>
    <w:rsid w:val="00C1288F"/>
    <w:rsid w:val="00C13140"/>
    <w:rsid w:val="00C14ECB"/>
    <w:rsid w:val="00C15F62"/>
    <w:rsid w:val="00C1634C"/>
    <w:rsid w:val="00C167F3"/>
    <w:rsid w:val="00C17891"/>
    <w:rsid w:val="00C17A07"/>
    <w:rsid w:val="00C20199"/>
    <w:rsid w:val="00C2089D"/>
    <w:rsid w:val="00C23467"/>
    <w:rsid w:val="00C24C77"/>
    <w:rsid w:val="00C25125"/>
    <w:rsid w:val="00C25D72"/>
    <w:rsid w:val="00C26872"/>
    <w:rsid w:val="00C269E5"/>
    <w:rsid w:val="00C27FAE"/>
    <w:rsid w:val="00C30D89"/>
    <w:rsid w:val="00C31933"/>
    <w:rsid w:val="00C31DB2"/>
    <w:rsid w:val="00C334F9"/>
    <w:rsid w:val="00C35504"/>
    <w:rsid w:val="00C369FD"/>
    <w:rsid w:val="00C37615"/>
    <w:rsid w:val="00C3778D"/>
    <w:rsid w:val="00C40A52"/>
    <w:rsid w:val="00C41FD7"/>
    <w:rsid w:val="00C43C2B"/>
    <w:rsid w:val="00C449CE"/>
    <w:rsid w:val="00C461F6"/>
    <w:rsid w:val="00C46DA8"/>
    <w:rsid w:val="00C47806"/>
    <w:rsid w:val="00C50B17"/>
    <w:rsid w:val="00C50F5C"/>
    <w:rsid w:val="00C52A8B"/>
    <w:rsid w:val="00C5411A"/>
    <w:rsid w:val="00C55F14"/>
    <w:rsid w:val="00C57520"/>
    <w:rsid w:val="00C578BA"/>
    <w:rsid w:val="00C60CB2"/>
    <w:rsid w:val="00C6140B"/>
    <w:rsid w:val="00C62914"/>
    <w:rsid w:val="00C65349"/>
    <w:rsid w:val="00C6791E"/>
    <w:rsid w:val="00C701C2"/>
    <w:rsid w:val="00C70556"/>
    <w:rsid w:val="00C72AA3"/>
    <w:rsid w:val="00C7468E"/>
    <w:rsid w:val="00C7474D"/>
    <w:rsid w:val="00C768BC"/>
    <w:rsid w:val="00C76B2E"/>
    <w:rsid w:val="00C76DE4"/>
    <w:rsid w:val="00C76F94"/>
    <w:rsid w:val="00C770D6"/>
    <w:rsid w:val="00C77704"/>
    <w:rsid w:val="00C80A14"/>
    <w:rsid w:val="00C80F64"/>
    <w:rsid w:val="00C81325"/>
    <w:rsid w:val="00C81850"/>
    <w:rsid w:val="00C82D5B"/>
    <w:rsid w:val="00C84EEB"/>
    <w:rsid w:val="00C85A68"/>
    <w:rsid w:val="00C86299"/>
    <w:rsid w:val="00C86984"/>
    <w:rsid w:val="00C875B4"/>
    <w:rsid w:val="00C91453"/>
    <w:rsid w:val="00C91803"/>
    <w:rsid w:val="00C91EE1"/>
    <w:rsid w:val="00C92009"/>
    <w:rsid w:val="00C921CC"/>
    <w:rsid w:val="00C92910"/>
    <w:rsid w:val="00C93194"/>
    <w:rsid w:val="00C93E01"/>
    <w:rsid w:val="00C94165"/>
    <w:rsid w:val="00C94BB8"/>
    <w:rsid w:val="00C94DA8"/>
    <w:rsid w:val="00C95E4B"/>
    <w:rsid w:val="00C966C4"/>
    <w:rsid w:val="00C9681F"/>
    <w:rsid w:val="00C97540"/>
    <w:rsid w:val="00CA04DA"/>
    <w:rsid w:val="00CA0672"/>
    <w:rsid w:val="00CA0CC0"/>
    <w:rsid w:val="00CA119B"/>
    <w:rsid w:val="00CA1B21"/>
    <w:rsid w:val="00CA3C1D"/>
    <w:rsid w:val="00CA4314"/>
    <w:rsid w:val="00CA4FB2"/>
    <w:rsid w:val="00CA55C3"/>
    <w:rsid w:val="00CA65CF"/>
    <w:rsid w:val="00CA6C80"/>
    <w:rsid w:val="00CB07C6"/>
    <w:rsid w:val="00CB0912"/>
    <w:rsid w:val="00CB0DDB"/>
    <w:rsid w:val="00CB1042"/>
    <w:rsid w:val="00CB1249"/>
    <w:rsid w:val="00CB206B"/>
    <w:rsid w:val="00CB2FB2"/>
    <w:rsid w:val="00CB300E"/>
    <w:rsid w:val="00CB4270"/>
    <w:rsid w:val="00CC0395"/>
    <w:rsid w:val="00CC2F31"/>
    <w:rsid w:val="00CC2FD8"/>
    <w:rsid w:val="00CC39F6"/>
    <w:rsid w:val="00CC4E98"/>
    <w:rsid w:val="00CC57B3"/>
    <w:rsid w:val="00CC5953"/>
    <w:rsid w:val="00CC5964"/>
    <w:rsid w:val="00CC6901"/>
    <w:rsid w:val="00CC6B44"/>
    <w:rsid w:val="00CC7BD1"/>
    <w:rsid w:val="00CD047F"/>
    <w:rsid w:val="00CD09F4"/>
    <w:rsid w:val="00CD111D"/>
    <w:rsid w:val="00CD14D5"/>
    <w:rsid w:val="00CD1C0D"/>
    <w:rsid w:val="00CD3412"/>
    <w:rsid w:val="00CD39B2"/>
    <w:rsid w:val="00CD42E7"/>
    <w:rsid w:val="00CD459C"/>
    <w:rsid w:val="00CD5C8D"/>
    <w:rsid w:val="00CD5DA0"/>
    <w:rsid w:val="00CD5DDB"/>
    <w:rsid w:val="00CD5F0A"/>
    <w:rsid w:val="00CD603E"/>
    <w:rsid w:val="00CD7E04"/>
    <w:rsid w:val="00CE082C"/>
    <w:rsid w:val="00CE246A"/>
    <w:rsid w:val="00CE2555"/>
    <w:rsid w:val="00CE4577"/>
    <w:rsid w:val="00CE50EE"/>
    <w:rsid w:val="00CF0251"/>
    <w:rsid w:val="00CF16FD"/>
    <w:rsid w:val="00CF20A0"/>
    <w:rsid w:val="00CF30A7"/>
    <w:rsid w:val="00CF3A13"/>
    <w:rsid w:val="00CF4F5E"/>
    <w:rsid w:val="00CF5062"/>
    <w:rsid w:val="00CF6545"/>
    <w:rsid w:val="00CF68C3"/>
    <w:rsid w:val="00CF69AB"/>
    <w:rsid w:val="00CF7D06"/>
    <w:rsid w:val="00D015A3"/>
    <w:rsid w:val="00D01EA7"/>
    <w:rsid w:val="00D024DB"/>
    <w:rsid w:val="00D024DF"/>
    <w:rsid w:val="00D033A1"/>
    <w:rsid w:val="00D0344B"/>
    <w:rsid w:val="00D0367C"/>
    <w:rsid w:val="00D040F1"/>
    <w:rsid w:val="00D04323"/>
    <w:rsid w:val="00D04915"/>
    <w:rsid w:val="00D04D42"/>
    <w:rsid w:val="00D04E56"/>
    <w:rsid w:val="00D04EA6"/>
    <w:rsid w:val="00D05A0C"/>
    <w:rsid w:val="00D0628B"/>
    <w:rsid w:val="00D06AF1"/>
    <w:rsid w:val="00D10E86"/>
    <w:rsid w:val="00D119DB"/>
    <w:rsid w:val="00D11D16"/>
    <w:rsid w:val="00D120BF"/>
    <w:rsid w:val="00D12EDC"/>
    <w:rsid w:val="00D13FEB"/>
    <w:rsid w:val="00D142D0"/>
    <w:rsid w:val="00D15661"/>
    <w:rsid w:val="00D15ACD"/>
    <w:rsid w:val="00D15B02"/>
    <w:rsid w:val="00D16057"/>
    <w:rsid w:val="00D161B0"/>
    <w:rsid w:val="00D17AFC"/>
    <w:rsid w:val="00D21283"/>
    <w:rsid w:val="00D21DAE"/>
    <w:rsid w:val="00D23C8E"/>
    <w:rsid w:val="00D23FA5"/>
    <w:rsid w:val="00D24927"/>
    <w:rsid w:val="00D272EC"/>
    <w:rsid w:val="00D32162"/>
    <w:rsid w:val="00D32BDF"/>
    <w:rsid w:val="00D32BE8"/>
    <w:rsid w:val="00D33846"/>
    <w:rsid w:val="00D339CD"/>
    <w:rsid w:val="00D342AB"/>
    <w:rsid w:val="00D350EF"/>
    <w:rsid w:val="00D354DB"/>
    <w:rsid w:val="00D3611F"/>
    <w:rsid w:val="00D369CC"/>
    <w:rsid w:val="00D36FB6"/>
    <w:rsid w:val="00D40F03"/>
    <w:rsid w:val="00D41784"/>
    <w:rsid w:val="00D423B0"/>
    <w:rsid w:val="00D434A1"/>
    <w:rsid w:val="00D43ABB"/>
    <w:rsid w:val="00D44054"/>
    <w:rsid w:val="00D446C0"/>
    <w:rsid w:val="00D46B70"/>
    <w:rsid w:val="00D47D55"/>
    <w:rsid w:val="00D503AB"/>
    <w:rsid w:val="00D5148D"/>
    <w:rsid w:val="00D516F6"/>
    <w:rsid w:val="00D51768"/>
    <w:rsid w:val="00D5267F"/>
    <w:rsid w:val="00D528A6"/>
    <w:rsid w:val="00D5305E"/>
    <w:rsid w:val="00D5334D"/>
    <w:rsid w:val="00D53B17"/>
    <w:rsid w:val="00D5429A"/>
    <w:rsid w:val="00D546DE"/>
    <w:rsid w:val="00D54AD1"/>
    <w:rsid w:val="00D55487"/>
    <w:rsid w:val="00D55767"/>
    <w:rsid w:val="00D55B2A"/>
    <w:rsid w:val="00D55F07"/>
    <w:rsid w:val="00D560C7"/>
    <w:rsid w:val="00D56869"/>
    <w:rsid w:val="00D57DF0"/>
    <w:rsid w:val="00D609DC"/>
    <w:rsid w:val="00D61553"/>
    <w:rsid w:val="00D61F9C"/>
    <w:rsid w:val="00D62054"/>
    <w:rsid w:val="00D62C82"/>
    <w:rsid w:val="00D62FDA"/>
    <w:rsid w:val="00D63592"/>
    <w:rsid w:val="00D64CD2"/>
    <w:rsid w:val="00D654F8"/>
    <w:rsid w:val="00D67960"/>
    <w:rsid w:val="00D702FB"/>
    <w:rsid w:val="00D70AF4"/>
    <w:rsid w:val="00D71C78"/>
    <w:rsid w:val="00D71D30"/>
    <w:rsid w:val="00D728A1"/>
    <w:rsid w:val="00D72BB1"/>
    <w:rsid w:val="00D72CD4"/>
    <w:rsid w:val="00D72F30"/>
    <w:rsid w:val="00D7471B"/>
    <w:rsid w:val="00D749C4"/>
    <w:rsid w:val="00D74E21"/>
    <w:rsid w:val="00D75556"/>
    <w:rsid w:val="00D76143"/>
    <w:rsid w:val="00D80939"/>
    <w:rsid w:val="00D812D3"/>
    <w:rsid w:val="00D8148E"/>
    <w:rsid w:val="00D81708"/>
    <w:rsid w:val="00D83ED4"/>
    <w:rsid w:val="00D849DA"/>
    <w:rsid w:val="00D84EB7"/>
    <w:rsid w:val="00D8563B"/>
    <w:rsid w:val="00D859F5"/>
    <w:rsid w:val="00D85F4B"/>
    <w:rsid w:val="00D87BCD"/>
    <w:rsid w:val="00D9026C"/>
    <w:rsid w:val="00D90A92"/>
    <w:rsid w:val="00D90C4C"/>
    <w:rsid w:val="00D92F04"/>
    <w:rsid w:val="00D93E43"/>
    <w:rsid w:val="00D94042"/>
    <w:rsid w:val="00D9779B"/>
    <w:rsid w:val="00D97AEA"/>
    <w:rsid w:val="00DA0408"/>
    <w:rsid w:val="00DA046C"/>
    <w:rsid w:val="00DA12DB"/>
    <w:rsid w:val="00DA2B68"/>
    <w:rsid w:val="00DA3B0C"/>
    <w:rsid w:val="00DA426B"/>
    <w:rsid w:val="00DA4812"/>
    <w:rsid w:val="00DA509D"/>
    <w:rsid w:val="00DA5394"/>
    <w:rsid w:val="00DB0BAB"/>
    <w:rsid w:val="00DB14BF"/>
    <w:rsid w:val="00DB21C0"/>
    <w:rsid w:val="00DB327F"/>
    <w:rsid w:val="00DB4B00"/>
    <w:rsid w:val="00DB4CBC"/>
    <w:rsid w:val="00DB4CCC"/>
    <w:rsid w:val="00DB59B8"/>
    <w:rsid w:val="00DB5F63"/>
    <w:rsid w:val="00DC0328"/>
    <w:rsid w:val="00DC1EBC"/>
    <w:rsid w:val="00DC3046"/>
    <w:rsid w:val="00DC44DC"/>
    <w:rsid w:val="00DC4853"/>
    <w:rsid w:val="00DC4E64"/>
    <w:rsid w:val="00DC5E22"/>
    <w:rsid w:val="00DC65EE"/>
    <w:rsid w:val="00DC6D09"/>
    <w:rsid w:val="00DC71C0"/>
    <w:rsid w:val="00DD0246"/>
    <w:rsid w:val="00DD0387"/>
    <w:rsid w:val="00DD0BBD"/>
    <w:rsid w:val="00DD0F40"/>
    <w:rsid w:val="00DD2CBD"/>
    <w:rsid w:val="00DD2CD6"/>
    <w:rsid w:val="00DD2E5C"/>
    <w:rsid w:val="00DD3ABF"/>
    <w:rsid w:val="00DD3EFF"/>
    <w:rsid w:val="00DD5ADA"/>
    <w:rsid w:val="00DD6728"/>
    <w:rsid w:val="00DD6B5B"/>
    <w:rsid w:val="00DD791B"/>
    <w:rsid w:val="00DE0899"/>
    <w:rsid w:val="00DE0B38"/>
    <w:rsid w:val="00DE38B3"/>
    <w:rsid w:val="00DE3F02"/>
    <w:rsid w:val="00DE5215"/>
    <w:rsid w:val="00DE5504"/>
    <w:rsid w:val="00DE57A6"/>
    <w:rsid w:val="00DE5F72"/>
    <w:rsid w:val="00DE624B"/>
    <w:rsid w:val="00DF1467"/>
    <w:rsid w:val="00DF1A84"/>
    <w:rsid w:val="00DF35E5"/>
    <w:rsid w:val="00DF432B"/>
    <w:rsid w:val="00DF5E28"/>
    <w:rsid w:val="00E00192"/>
    <w:rsid w:val="00E002C7"/>
    <w:rsid w:val="00E00C16"/>
    <w:rsid w:val="00E01A9D"/>
    <w:rsid w:val="00E039FF"/>
    <w:rsid w:val="00E0430E"/>
    <w:rsid w:val="00E05DD2"/>
    <w:rsid w:val="00E05FFF"/>
    <w:rsid w:val="00E06373"/>
    <w:rsid w:val="00E071F9"/>
    <w:rsid w:val="00E10058"/>
    <w:rsid w:val="00E13C52"/>
    <w:rsid w:val="00E1480A"/>
    <w:rsid w:val="00E150FE"/>
    <w:rsid w:val="00E15DCD"/>
    <w:rsid w:val="00E1600D"/>
    <w:rsid w:val="00E17CD6"/>
    <w:rsid w:val="00E20435"/>
    <w:rsid w:val="00E20BEE"/>
    <w:rsid w:val="00E20CF0"/>
    <w:rsid w:val="00E2403C"/>
    <w:rsid w:val="00E2484A"/>
    <w:rsid w:val="00E266A8"/>
    <w:rsid w:val="00E269F7"/>
    <w:rsid w:val="00E27154"/>
    <w:rsid w:val="00E2726E"/>
    <w:rsid w:val="00E30C76"/>
    <w:rsid w:val="00E31891"/>
    <w:rsid w:val="00E326C8"/>
    <w:rsid w:val="00E32A58"/>
    <w:rsid w:val="00E32CDF"/>
    <w:rsid w:val="00E339D0"/>
    <w:rsid w:val="00E34F9D"/>
    <w:rsid w:val="00E35135"/>
    <w:rsid w:val="00E353D9"/>
    <w:rsid w:val="00E35B94"/>
    <w:rsid w:val="00E35DF0"/>
    <w:rsid w:val="00E366E4"/>
    <w:rsid w:val="00E37965"/>
    <w:rsid w:val="00E40B86"/>
    <w:rsid w:val="00E4181D"/>
    <w:rsid w:val="00E418A6"/>
    <w:rsid w:val="00E450B5"/>
    <w:rsid w:val="00E45FF5"/>
    <w:rsid w:val="00E47DF6"/>
    <w:rsid w:val="00E5067B"/>
    <w:rsid w:val="00E51973"/>
    <w:rsid w:val="00E521E9"/>
    <w:rsid w:val="00E52E2B"/>
    <w:rsid w:val="00E538AF"/>
    <w:rsid w:val="00E56816"/>
    <w:rsid w:val="00E57AD4"/>
    <w:rsid w:val="00E57B81"/>
    <w:rsid w:val="00E6016D"/>
    <w:rsid w:val="00E603EC"/>
    <w:rsid w:val="00E61121"/>
    <w:rsid w:val="00E616D7"/>
    <w:rsid w:val="00E61F78"/>
    <w:rsid w:val="00E61FFE"/>
    <w:rsid w:val="00E6272E"/>
    <w:rsid w:val="00E639A7"/>
    <w:rsid w:val="00E6422B"/>
    <w:rsid w:val="00E65894"/>
    <w:rsid w:val="00E663E1"/>
    <w:rsid w:val="00E6703E"/>
    <w:rsid w:val="00E67E8D"/>
    <w:rsid w:val="00E712DC"/>
    <w:rsid w:val="00E714D4"/>
    <w:rsid w:val="00E71D99"/>
    <w:rsid w:val="00E723B2"/>
    <w:rsid w:val="00E7292D"/>
    <w:rsid w:val="00E72A0A"/>
    <w:rsid w:val="00E72BA3"/>
    <w:rsid w:val="00E75A79"/>
    <w:rsid w:val="00E76D78"/>
    <w:rsid w:val="00E778DC"/>
    <w:rsid w:val="00E7798A"/>
    <w:rsid w:val="00E81AF3"/>
    <w:rsid w:val="00E81B13"/>
    <w:rsid w:val="00E8301C"/>
    <w:rsid w:val="00E83039"/>
    <w:rsid w:val="00E83F77"/>
    <w:rsid w:val="00E8499D"/>
    <w:rsid w:val="00E84B70"/>
    <w:rsid w:val="00E84C97"/>
    <w:rsid w:val="00E84EF7"/>
    <w:rsid w:val="00E86CAB"/>
    <w:rsid w:val="00E87B40"/>
    <w:rsid w:val="00E87E08"/>
    <w:rsid w:val="00E87E5E"/>
    <w:rsid w:val="00E9055C"/>
    <w:rsid w:val="00E90F73"/>
    <w:rsid w:val="00E91792"/>
    <w:rsid w:val="00E91CEE"/>
    <w:rsid w:val="00E92F97"/>
    <w:rsid w:val="00E93165"/>
    <w:rsid w:val="00E931AE"/>
    <w:rsid w:val="00E944E7"/>
    <w:rsid w:val="00E955EF"/>
    <w:rsid w:val="00E976DD"/>
    <w:rsid w:val="00E97ACB"/>
    <w:rsid w:val="00EA04B6"/>
    <w:rsid w:val="00EA0793"/>
    <w:rsid w:val="00EA17C9"/>
    <w:rsid w:val="00EA1AED"/>
    <w:rsid w:val="00EA1DFA"/>
    <w:rsid w:val="00EA20E6"/>
    <w:rsid w:val="00EA3376"/>
    <w:rsid w:val="00EA3AA1"/>
    <w:rsid w:val="00EA4CF7"/>
    <w:rsid w:val="00EA586A"/>
    <w:rsid w:val="00EA5D11"/>
    <w:rsid w:val="00EA60EF"/>
    <w:rsid w:val="00EA6AC3"/>
    <w:rsid w:val="00EA7D2B"/>
    <w:rsid w:val="00EB002F"/>
    <w:rsid w:val="00EB14FB"/>
    <w:rsid w:val="00EB1621"/>
    <w:rsid w:val="00EB1AE7"/>
    <w:rsid w:val="00EB2CC8"/>
    <w:rsid w:val="00EB3434"/>
    <w:rsid w:val="00EB3836"/>
    <w:rsid w:val="00EB4DCE"/>
    <w:rsid w:val="00EB5562"/>
    <w:rsid w:val="00EB5651"/>
    <w:rsid w:val="00EB7954"/>
    <w:rsid w:val="00EB7E39"/>
    <w:rsid w:val="00EC0857"/>
    <w:rsid w:val="00EC2E08"/>
    <w:rsid w:val="00EC2E9F"/>
    <w:rsid w:val="00EC2F09"/>
    <w:rsid w:val="00EC2F92"/>
    <w:rsid w:val="00EC5A5D"/>
    <w:rsid w:val="00EC5DAD"/>
    <w:rsid w:val="00EC70D8"/>
    <w:rsid w:val="00EC7334"/>
    <w:rsid w:val="00EC738E"/>
    <w:rsid w:val="00EC7D9C"/>
    <w:rsid w:val="00ED0B4C"/>
    <w:rsid w:val="00ED239C"/>
    <w:rsid w:val="00ED2A63"/>
    <w:rsid w:val="00ED3453"/>
    <w:rsid w:val="00ED555D"/>
    <w:rsid w:val="00ED5B9A"/>
    <w:rsid w:val="00ED5C7A"/>
    <w:rsid w:val="00EE05F1"/>
    <w:rsid w:val="00EE0687"/>
    <w:rsid w:val="00EE0A69"/>
    <w:rsid w:val="00EE13C0"/>
    <w:rsid w:val="00EE1B3C"/>
    <w:rsid w:val="00EE3254"/>
    <w:rsid w:val="00EE38A7"/>
    <w:rsid w:val="00EE3A11"/>
    <w:rsid w:val="00EE5EF9"/>
    <w:rsid w:val="00EE616E"/>
    <w:rsid w:val="00EE6541"/>
    <w:rsid w:val="00EE666D"/>
    <w:rsid w:val="00EE7FC1"/>
    <w:rsid w:val="00EF2AE6"/>
    <w:rsid w:val="00EF30B1"/>
    <w:rsid w:val="00EF3170"/>
    <w:rsid w:val="00EF4544"/>
    <w:rsid w:val="00EF53DF"/>
    <w:rsid w:val="00EF5B67"/>
    <w:rsid w:val="00EF7306"/>
    <w:rsid w:val="00EF7540"/>
    <w:rsid w:val="00F00765"/>
    <w:rsid w:val="00F00C15"/>
    <w:rsid w:val="00F020FC"/>
    <w:rsid w:val="00F026B4"/>
    <w:rsid w:val="00F030B9"/>
    <w:rsid w:val="00F03A2B"/>
    <w:rsid w:val="00F03DE3"/>
    <w:rsid w:val="00F03DF8"/>
    <w:rsid w:val="00F04BC8"/>
    <w:rsid w:val="00F04EB3"/>
    <w:rsid w:val="00F05AD2"/>
    <w:rsid w:val="00F05EF3"/>
    <w:rsid w:val="00F06805"/>
    <w:rsid w:val="00F12212"/>
    <w:rsid w:val="00F130CD"/>
    <w:rsid w:val="00F13416"/>
    <w:rsid w:val="00F13F3A"/>
    <w:rsid w:val="00F15CE1"/>
    <w:rsid w:val="00F16D8C"/>
    <w:rsid w:val="00F170D5"/>
    <w:rsid w:val="00F17A04"/>
    <w:rsid w:val="00F21810"/>
    <w:rsid w:val="00F24B7C"/>
    <w:rsid w:val="00F251BC"/>
    <w:rsid w:val="00F25272"/>
    <w:rsid w:val="00F2606C"/>
    <w:rsid w:val="00F266D7"/>
    <w:rsid w:val="00F26777"/>
    <w:rsid w:val="00F274A9"/>
    <w:rsid w:val="00F305EF"/>
    <w:rsid w:val="00F31019"/>
    <w:rsid w:val="00F31C35"/>
    <w:rsid w:val="00F3230F"/>
    <w:rsid w:val="00F331E3"/>
    <w:rsid w:val="00F334D5"/>
    <w:rsid w:val="00F35F77"/>
    <w:rsid w:val="00F401B6"/>
    <w:rsid w:val="00F40388"/>
    <w:rsid w:val="00F40A7E"/>
    <w:rsid w:val="00F40F40"/>
    <w:rsid w:val="00F411DB"/>
    <w:rsid w:val="00F44015"/>
    <w:rsid w:val="00F4440F"/>
    <w:rsid w:val="00F44FE4"/>
    <w:rsid w:val="00F4544B"/>
    <w:rsid w:val="00F5071F"/>
    <w:rsid w:val="00F516F5"/>
    <w:rsid w:val="00F52DC0"/>
    <w:rsid w:val="00F5526B"/>
    <w:rsid w:val="00F56761"/>
    <w:rsid w:val="00F57633"/>
    <w:rsid w:val="00F57C0B"/>
    <w:rsid w:val="00F6009A"/>
    <w:rsid w:val="00F600BE"/>
    <w:rsid w:val="00F60141"/>
    <w:rsid w:val="00F6028C"/>
    <w:rsid w:val="00F61834"/>
    <w:rsid w:val="00F62AB8"/>
    <w:rsid w:val="00F630D5"/>
    <w:rsid w:val="00F637FD"/>
    <w:rsid w:val="00F63BBE"/>
    <w:rsid w:val="00F63FBA"/>
    <w:rsid w:val="00F64332"/>
    <w:rsid w:val="00F6458D"/>
    <w:rsid w:val="00F64BBC"/>
    <w:rsid w:val="00F65CAD"/>
    <w:rsid w:val="00F66973"/>
    <w:rsid w:val="00F66A1C"/>
    <w:rsid w:val="00F66EF5"/>
    <w:rsid w:val="00F707C2"/>
    <w:rsid w:val="00F70B4C"/>
    <w:rsid w:val="00F724C9"/>
    <w:rsid w:val="00F72A4D"/>
    <w:rsid w:val="00F73C4C"/>
    <w:rsid w:val="00F73E38"/>
    <w:rsid w:val="00F76189"/>
    <w:rsid w:val="00F77534"/>
    <w:rsid w:val="00F80DC6"/>
    <w:rsid w:val="00F81950"/>
    <w:rsid w:val="00F81BAF"/>
    <w:rsid w:val="00F83CB6"/>
    <w:rsid w:val="00F84B9E"/>
    <w:rsid w:val="00F85C3A"/>
    <w:rsid w:val="00F85CDC"/>
    <w:rsid w:val="00F85E1B"/>
    <w:rsid w:val="00F878BD"/>
    <w:rsid w:val="00F87DCC"/>
    <w:rsid w:val="00F9042C"/>
    <w:rsid w:val="00F90BC4"/>
    <w:rsid w:val="00F90D37"/>
    <w:rsid w:val="00F91B33"/>
    <w:rsid w:val="00F92C8C"/>
    <w:rsid w:val="00F9304F"/>
    <w:rsid w:val="00F9306A"/>
    <w:rsid w:val="00F94B2D"/>
    <w:rsid w:val="00F94E55"/>
    <w:rsid w:val="00F96407"/>
    <w:rsid w:val="00F96951"/>
    <w:rsid w:val="00FA0C37"/>
    <w:rsid w:val="00FA11FC"/>
    <w:rsid w:val="00FA2CD5"/>
    <w:rsid w:val="00FA52AB"/>
    <w:rsid w:val="00FA61FD"/>
    <w:rsid w:val="00FB0398"/>
    <w:rsid w:val="00FB07F5"/>
    <w:rsid w:val="00FB08D8"/>
    <w:rsid w:val="00FB0C2E"/>
    <w:rsid w:val="00FB0E93"/>
    <w:rsid w:val="00FB0F93"/>
    <w:rsid w:val="00FB1ABC"/>
    <w:rsid w:val="00FB35E6"/>
    <w:rsid w:val="00FB3740"/>
    <w:rsid w:val="00FB3C18"/>
    <w:rsid w:val="00FB48F6"/>
    <w:rsid w:val="00FB5AC0"/>
    <w:rsid w:val="00FB697C"/>
    <w:rsid w:val="00FB6D4D"/>
    <w:rsid w:val="00FB7158"/>
    <w:rsid w:val="00FC0E08"/>
    <w:rsid w:val="00FC1C14"/>
    <w:rsid w:val="00FC1D1D"/>
    <w:rsid w:val="00FC2095"/>
    <w:rsid w:val="00FC3FB7"/>
    <w:rsid w:val="00FC4494"/>
    <w:rsid w:val="00FC5CF0"/>
    <w:rsid w:val="00FC6B6F"/>
    <w:rsid w:val="00FC6C03"/>
    <w:rsid w:val="00FC7692"/>
    <w:rsid w:val="00FD087C"/>
    <w:rsid w:val="00FD0FF2"/>
    <w:rsid w:val="00FD150A"/>
    <w:rsid w:val="00FD19DA"/>
    <w:rsid w:val="00FD3449"/>
    <w:rsid w:val="00FD35E1"/>
    <w:rsid w:val="00FD3C12"/>
    <w:rsid w:val="00FD40CB"/>
    <w:rsid w:val="00FD4C4F"/>
    <w:rsid w:val="00FD4C5F"/>
    <w:rsid w:val="00FD521A"/>
    <w:rsid w:val="00FD67D5"/>
    <w:rsid w:val="00FD6B2B"/>
    <w:rsid w:val="00FD6F3C"/>
    <w:rsid w:val="00FE0DE5"/>
    <w:rsid w:val="00FE0F99"/>
    <w:rsid w:val="00FE17A0"/>
    <w:rsid w:val="00FE2E27"/>
    <w:rsid w:val="00FE2E48"/>
    <w:rsid w:val="00FE2F7A"/>
    <w:rsid w:val="00FE46B1"/>
    <w:rsid w:val="00FE5AE6"/>
    <w:rsid w:val="00FE62D8"/>
    <w:rsid w:val="00FE7FC9"/>
    <w:rsid w:val="00FF1F18"/>
    <w:rsid w:val="00FF1FDE"/>
    <w:rsid w:val="00FF22E0"/>
    <w:rsid w:val="00FF350B"/>
    <w:rsid w:val="00FF3DA5"/>
    <w:rsid w:val="00FF4274"/>
    <w:rsid w:val="00FF5269"/>
    <w:rsid w:val="00FF564F"/>
    <w:rsid w:val="00FF569E"/>
    <w:rsid w:val="00FF6622"/>
    <w:rsid w:val="00FF6E9F"/>
    <w:rsid w:val="00FF7206"/>
    <w:rsid w:val="00FF739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6c"/>
    </o:shapedefaults>
    <o:shapelayout v:ext="edit">
      <o:idmap v:ext="edit" data="2"/>
    </o:shapelayout>
  </w:shapeDefaults>
  <w:decimalSymbol w:val="."/>
  <w:listSeparator w:val=";"/>
  <w14:docId w14:val="0BCBA4EB"/>
  <w15:docId w15:val="{F15CDBF1-7739-4A52-AA63-1411E7567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Calibri" w:hAnsi="Tahoma"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4306F"/>
    <w:pPr>
      <w:spacing w:after="200" w:line="276" w:lineRule="auto"/>
    </w:pPr>
    <w:rPr>
      <w:sz w:val="18"/>
      <w:szCs w:val="22"/>
    </w:rPr>
  </w:style>
  <w:style w:type="paragraph" w:styleId="Virsraksts1">
    <w:name w:val="heading 1"/>
    <w:basedOn w:val="Parasts"/>
    <w:next w:val="Parasts"/>
    <w:link w:val="Virsraksts1Rakstz"/>
    <w:uiPriority w:val="9"/>
    <w:qFormat/>
    <w:rsid w:val="00887DB2"/>
    <w:pPr>
      <w:keepNext/>
      <w:spacing w:before="240" w:after="60"/>
      <w:outlineLvl w:val="0"/>
    </w:pPr>
    <w:rPr>
      <w:rFonts w:ascii="Cambria" w:eastAsia="Times New Roman" w:hAnsi="Cambria"/>
      <w:b/>
      <w:bCs/>
      <w:kern w:val="32"/>
      <w:sz w:val="32"/>
      <w:szCs w:val="32"/>
    </w:rPr>
  </w:style>
  <w:style w:type="paragraph" w:styleId="Virsraksts2">
    <w:name w:val="heading 2"/>
    <w:basedOn w:val="Parasts"/>
    <w:next w:val="Parasts"/>
    <w:link w:val="Virsraksts2Rakstz"/>
    <w:uiPriority w:val="9"/>
    <w:unhideWhenUsed/>
    <w:qFormat/>
    <w:rsid w:val="00887DB2"/>
    <w:pPr>
      <w:keepNext/>
      <w:spacing w:before="240" w:after="60"/>
      <w:outlineLvl w:val="1"/>
    </w:pPr>
    <w:rPr>
      <w:rFonts w:ascii="Cambria" w:hAnsi="Cambria"/>
      <w:b/>
      <w:bCs/>
      <w:i/>
      <w:iCs/>
      <w:sz w:val="28"/>
      <w:szCs w:val="28"/>
    </w:rPr>
  </w:style>
  <w:style w:type="paragraph" w:styleId="Virsraksts3">
    <w:name w:val="heading 3"/>
    <w:basedOn w:val="Parasts"/>
    <w:next w:val="Parasts"/>
    <w:link w:val="Virsraksts3Rakstz"/>
    <w:uiPriority w:val="9"/>
    <w:unhideWhenUsed/>
    <w:qFormat/>
    <w:rsid w:val="00C93E01"/>
    <w:pPr>
      <w:keepNext/>
      <w:spacing w:before="240" w:after="60"/>
      <w:outlineLvl w:val="2"/>
    </w:pPr>
    <w:rPr>
      <w:rFonts w:ascii="Cambria" w:eastAsia="Times New Roman" w:hAnsi="Cambria"/>
      <w:b/>
      <w:bCs/>
      <w:sz w:val="26"/>
      <w:szCs w:val="26"/>
    </w:rPr>
  </w:style>
  <w:style w:type="paragraph" w:styleId="Virsraksts5">
    <w:name w:val="heading 5"/>
    <w:basedOn w:val="Parasts"/>
    <w:next w:val="Parasts"/>
    <w:link w:val="Virsraksts5Rakstz"/>
    <w:qFormat/>
    <w:rsid w:val="0064306F"/>
    <w:pPr>
      <w:keepNext/>
      <w:spacing w:after="0" w:line="240" w:lineRule="auto"/>
      <w:jc w:val="right"/>
      <w:outlineLvl w:val="4"/>
    </w:pPr>
    <w:rPr>
      <w:rFonts w:ascii="Arial Narrow" w:hAnsi="Arial Narrow"/>
      <w:b/>
      <w:bCs/>
      <w:sz w:val="26"/>
      <w:szCs w:val="20"/>
      <w:lang w:eastAsia="en-US"/>
    </w:rPr>
  </w:style>
  <w:style w:type="paragraph" w:styleId="Virsraksts6">
    <w:name w:val="heading 6"/>
    <w:basedOn w:val="Parasts"/>
    <w:next w:val="Parasts"/>
    <w:link w:val="Virsraksts6Rakstz"/>
    <w:qFormat/>
    <w:rsid w:val="00B05609"/>
    <w:pPr>
      <w:keepNext/>
      <w:widowControl w:val="0"/>
      <w:autoSpaceDE w:val="0"/>
      <w:autoSpaceDN w:val="0"/>
      <w:adjustRightInd w:val="0"/>
      <w:spacing w:before="20" w:after="20" w:line="240" w:lineRule="auto"/>
      <w:outlineLvl w:val="5"/>
    </w:pPr>
    <w:rPr>
      <w:rFonts w:ascii="Times New Roman" w:eastAsia="Times New Roman" w:hAnsi="Times New Roman" w:cs="Mangal"/>
      <w:b/>
      <w:bCs/>
      <w:color w:val="000000"/>
      <w:spacing w:val="-9"/>
      <w:sz w:val="23"/>
      <w:szCs w:val="23"/>
      <w:lang w:eastAsia="en-US" w:bidi="sa-I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nhideWhenUsed/>
    <w:rsid w:val="0064306F"/>
    <w:pPr>
      <w:tabs>
        <w:tab w:val="center" w:pos="4513"/>
        <w:tab w:val="right" w:pos="9026"/>
      </w:tabs>
    </w:pPr>
  </w:style>
  <w:style w:type="character" w:customStyle="1" w:styleId="GalveneRakstz">
    <w:name w:val="Galvene Rakstz."/>
    <w:link w:val="Galvene"/>
    <w:uiPriority w:val="99"/>
    <w:rsid w:val="0064306F"/>
    <w:rPr>
      <w:sz w:val="22"/>
    </w:rPr>
  </w:style>
  <w:style w:type="paragraph" w:styleId="Kjene">
    <w:name w:val="footer"/>
    <w:basedOn w:val="Parasts"/>
    <w:link w:val="KjeneRakstz"/>
    <w:uiPriority w:val="99"/>
    <w:unhideWhenUsed/>
    <w:rsid w:val="0064306F"/>
    <w:pPr>
      <w:tabs>
        <w:tab w:val="center" w:pos="4513"/>
        <w:tab w:val="right" w:pos="9026"/>
      </w:tabs>
    </w:pPr>
  </w:style>
  <w:style w:type="character" w:customStyle="1" w:styleId="KjeneRakstz">
    <w:name w:val="Kājene Rakstz."/>
    <w:link w:val="Kjene"/>
    <w:uiPriority w:val="99"/>
    <w:rsid w:val="0064306F"/>
    <w:rPr>
      <w:sz w:val="22"/>
    </w:rPr>
  </w:style>
  <w:style w:type="paragraph" w:styleId="Balonteksts">
    <w:name w:val="Balloon Text"/>
    <w:basedOn w:val="Parasts"/>
    <w:link w:val="BalontekstsRakstz"/>
    <w:uiPriority w:val="99"/>
    <w:semiHidden/>
    <w:unhideWhenUsed/>
    <w:rsid w:val="0064306F"/>
    <w:rPr>
      <w:rFonts w:cs="Tahoma"/>
      <w:sz w:val="16"/>
      <w:szCs w:val="16"/>
    </w:rPr>
  </w:style>
  <w:style w:type="character" w:customStyle="1" w:styleId="BalontekstsRakstz">
    <w:name w:val="Balonteksts Rakstz."/>
    <w:link w:val="Balonteksts"/>
    <w:uiPriority w:val="99"/>
    <w:semiHidden/>
    <w:rsid w:val="0064306F"/>
    <w:rPr>
      <w:rFonts w:cs="Tahoma"/>
      <w:sz w:val="16"/>
      <w:szCs w:val="16"/>
    </w:rPr>
  </w:style>
  <w:style w:type="character" w:customStyle="1" w:styleId="Virsraksts5Rakstz">
    <w:name w:val="Virsraksts 5 Rakstz."/>
    <w:link w:val="Virsraksts5"/>
    <w:rsid w:val="0064306F"/>
    <w:rPr>
      <w:rFonts w:ascii="Arial Narrow" w:eastAsia="Times New Roman" w:hAnsi="Arial Narrow"/>
      <w:b/>
      <w:bCs/>
      <w:sz w:val="26"/>
      <w:lang w:eastAsia="en-US"/>
    </w:rPr>
  </w:style>
  <w:style w:type="character" w:customStyle="1" w:styleId="Virsraksts1Rakstz">
    <w:name w:val="Virsraksts 1 Rakstz."/>
    <w:link w:val="Virsraksts1"/>
    <w:uiPriority w:val="9"/>
    <w:rsid w:val="00887DB2"/>
    <w:rPr>
      <w:rFonts w:ascii="Cambria" w:eastAsia="Times New Roman" w:hAnsi="Cambria" w:cs="Times New Roman"/>
      <w:b/>
      <w:bCs/>
      <w:kern w:val="32"/>
      <w:sz w:val="32"/>
      <w:szCs w:val="32"/>
    </w:rPr>
  </w:style>
  <w:style w:type="character" w:customStyle="1" w:styleId="Virsraksts2Rakstz">
    <w:name w:val="Virsraksts 2 Rakstz."/>
    <w:link w:val="Virsraksts2"/>
    <w:uiPriority w:val="9"/>
    <w:rsid w:val="00887DB2"/>
    <w:rPr>
      <w:rFonts w:ascii="Cambria" w:eastAsia="Times New Roman" w:hAnsi="Cambria"/>
      <w:b/>
      <w:bCs/>
      <w:i/>
      <w:iCs/>
      <w:sz w:val="28"/>
      <w:szCs w:val="28"/>
    </w:rPr>
  </w:style>
  <w:style w:type="character" w:customStyle="1" w:styleId="Virsraksts3Rakstz">
    <w:name w:val="Virsraksts 3 Rakstz."/>
    <w:link w:val="Virsraksts3"/>
    <w:uiPriority w:val="9"/>
    <w:rsid w:val="00C93E01"/>
    <w:rPr>
      <w:rFonts w:ascii="Cambria" w:eastAsia="Times New Roman" w:hAnsi="Cambria" w:cs="Times New Roman"/>
      <w:b/>
      <w:bCs/>
      <w:sz w:val="26"/>
      <w:szCs w:val="26"/>
    </w:rPr>
  </w:style>
  <w:style w:type="table" w:styleId="Reatabula">
    <w:name w:val="Table Grid"/>
    <w:basedOn w:val="Parastatabula"/>
    <w:uiPriority w:val="59"/>
    <w:rsid w:val="00F516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ststmeklis">
    <w:name w:val="Normal (Web)"/>
    <w:basedOn w:val="Parasts"/>
    <w:uiPriority w:val="99"/>
    <w:semiHidden/>
    <w:unhideWhenUsed/>
    <w:rsid w:val="00DC6D09"/>
    <w:pPr>
      <w:spacing w:before="100" w:beforeAutospacing="1" w:after="100" w:afterAutospacing="1" w:line="240" w:lineRule="auto"/>
    </w:pPr>
    <w:rPr>
      <w:rFonts w:ascii="Times New Roman" w:hAnsi="Times New Roman"/>
      <w:sz w:val="24"/>
      <w:szCs w:val="24"/>
    </w:rPr>
  </w:style>
  <w:style w:type="character" w:styleId="Izteiksmgs">
    <w:name w:val="Strong"/>
    <w:uiPriority w:val="22"/>
    <w:qFormat/>
    <w:rsid w:val="00DC6D09"/>
    <w:rPr>
      <w:b/>
      <w:bCs/>
    </w:rPr>
  </w:style>
  <w:style w:type="character" w:customStyle="1" w:styleId="apple-converted-space">
    <w:name w:val="apple-converted-space"/>
    <w:rsid w:val="00DC6D09"/>
  </w:style>
  <w:style w:type="paragraph" w:styleId="Saturardtjavirsraksts">
    <w:name w:val="TOC Heading"/>
    <w:basedOn w:val="Virsraksts1"/>
    <w:next w:val="Parasts"/>
    <w:uiPriority w:val="39"/>
    <w:semiHidden/>
    <w:unhideWhenUsed/>
    <w:qFormat/>
    <w:rsid w:val="00204CAD"/>
    <w:pPr>
      <w:keepLines/>
      <w:spacing w:before="480" w:after="0"/>
      <w:outlineLvl w:val="9"/>
    </w:pPr>
    <w:rPr>
      <w:rFonts w:eastAsia="MS Gothic"/>
      <w:color w:val="365F91"/>
      <w:kern w:val="0"/>
      <w:sz w:val="28"/>
      <w:szCs w:val="28"/>
      <w:lang w:val="en-US" w:eastAsia="ja-JP"/>
    </w:rPr>
  </w:style>
  <w:style w:type="paragraph" w:styleId="Saturs1">
    <w:name w:val="toc 1"/>
    <w:basedOn w:val="Parasts"/>
    <w:next w:val="Parasts"/>
    <w:autoRedefine/>
    <w:uiPriority w:val="39"/>
    <w:unhideWhenUsed/>
    <w:rsid w:val="003C11AF"/>
    <w:pPr>
      <w:tabs>
        <w:tab w:val="left" w:pos="284"/>
        <w:tab w:val="right" w:leader="dot" w:pos="9016"/>
      </w:tabs>
      <w:spacing w:after="0" w:line="240" w:lineRule="auto"/>
      <w:jc w:val="both"/>
    </w:pPr>
  </w:style>
  <w:style w:type="paragraph" w:styleId="Saturs3">
    <w:name w:val="toc 3"/>
    <w:basedOn w:val="Parasts"/>
    <w:next w:val="Parasts"/>
    <w:autoRedefine/>
    <w:uiPriority w:val="39"/>
    <w:unhideWhenUsed/>
    <w:rsid w:val="004446B2"/>
    <w:pPr>
      <w:tabs>
        <w:tab w:val="left" w:pos="709"/>
        <w:tab w:val="right" w:leader="dot" w:pos="9016"/>
      </w:tabs>
      <w:spacing w:after="0" w:line="240" w:lineRule="auto"/>
      <w:ind w:left="284"/>
    </w:pPr>
  </w:style>
  <w:style w:type="character" w:styleId="Hipersaite">
    <w:name w:val="Hyperlink"/>
    <w:uiPriority w:val="99"/>
    <w:unhideWhenUsed/>
    <w:rsid w:val="00204CAD"/>
    <w:rPr>
      <w:color w:val="0000FF"/>
      <w:u w:val="single"/>
    </w:rPr>
  </w:style>
  <w:style w:type="paragraph" w:styleId="Saraksts">
    <w:name w:val="List"/>
    <w:basedOn w:val="Parasts"/>
    <w:rsid w:val="00A70D1C"/>
    <w:pPr>
      <w:spacing w:after="0" w:line="240" w:lineRule="auto"/>
      <w:ind w:left="360" w:hanging="360"/>
      <w:jc w:val="both"/>
    </w:pPr>
    <w:rPr>
      <w:rFonts w:ascii="Arial" w:hAnsi="Arial"/>
      <w:szCs w:val="20"/>
      <w:lang w:eastAsia="en-US"/>
    </w:rPr>
  </w:style>
  <w:style w:type="character" w:styleId="Izclums">
    <w:name w:val="Emphasis"/>
    <w:uiPriority w:val="20"/>
    <w:qFormat/>
    <w:rsid w:val="00300125"/>
    <w:rPr>
      <w:i/>
      <w:iCs/>
    </w:rPr>
  </w:style>
  <w:style w:type="paragraph" w:styleId="Pamatteksts2">
    <w:name w:val="Body Text 2"/>
    <w:basedOn w:val="Parasts"/>
    <w:link w:val="Pamatteksts2Rakstz"/>
    <w:rsid w:val="00F81950"/>
    <w:pPr>
      <w:spacing w:after="0" w:line="240" w:lineRule="auto"/>
    </w:pPr>
    <w:rPr>
      <w:rFonts w:ascii="Arial" w:hAnsi="Arial"/>
      <w:szCs w:val="20"/>
      <w:lang w:eastAsia="en-US"/>
    </w:rPr>
  </w:style>
  <w:style w:type="character" w:customStyle="1" w:styleId="Pamatteksts2Rakstz">
    <w:name w:val="Pamatteksts 2 Rakstz."/>
    <w:link w:val="Pamatteksts2"/>
    <w:rsid w:val="00F81950"/>
    <w:rPr>
      <w:rFonts w:ascii="Arial" w:eastAsia="Times New Roman" w:hAnsi="Arial"/>
      <w:sz w:val="18"/>
      <w:lang w:eastAsia="en-US"/>
    </w:rPr>
  </w:style>
  <w:style w:type="paragraph" w:customStyle="1" w:styleId="TableText">
    <w:name w:val="Table Text"/>
    <w:basedOn w:val="Parasts"/>
    <w:rsid w:val="00DF35E5"/>
    <w:pPr>
      <w:spacing w:after="0" w:line="240" w:lineRule="auto"/>
    </w:pPr>
    <w:rPr>
      <w:rFonts w:ascii="CG Times" w:hAnsi="CG Times"/>
      <w:noProof/>
      <w:sz w:val="20"/>
      <w:szCs w:val="20"/>
      <w:lang w:val="en-GB" w:eastAsia="en-US"/>
      <w14:shadow w14:blurRad="50800" w14:dist="38100" w14:dir="2700000" w14:sx="100000" w14:sy="100000" w14:kx="0" w14:ky="0" w14:algn="tl">
        <w14:srgbClr w14:val="000000">
          <w14:alpha w14:val="60000"/>
        </w14:srgbClr>
      </w14:shadow>
    </w:rPr>
  </w:style>
  <w:style w:type="paragraph" w:customStyle="1" w:styleId="Default">
    <w:name w:val="Default"/>
    <w:rsid w:val="00C578BA"/>
    <w:pPr>
      <w:autoSpaceDE w:val="0"/>
      <w:autoSpaceDN w:val="0"/>
      <w:adjustRightInd w:val="0"/>
    </w:pPr>
    <w:rPr>
      <w:rFonts w:ascii="Arial" w:hAnsi="Arial" w:cs="Arial"/>
      <w:color w:val="000000"/>
      <w:sz w:val="24"/>
      <w:szCs w:val="24"/>
    </w:rPr>
  </w:style>
  <w:style w:type="paragraph" w:styleId="Sarakstarindkopa">
    <w:name w:val="List Paragraph"/>
    <w:basedOn w:val="Parasts"/>
    <w:uiPriority w:val="34"/>
    <w:qFormat/>
    <w:rsid w:val="009659EE"/>
    <w:pPr>
      <w:spacing w:after="0" w:line="240" w:lineRule="auto"/>
      <w:ind w:left="720"/>
    </w:pPr>
    <w:rPr>
      <w:lang w:eastAsia="en-US"/>
    </w:rPr>
  </w:style>
  <w:style w:type="paragraph" w:customStyle="1" w:styleId="1text">
    <w:name w:val="1_text"/>
    <w:basedOn w:val="Parasts"/>
    <w:rsid w:val="00B06163"/>
    <w:pPr>
      <w:spacing w:before="80" w:after="0" w:line="240" w:lineRule="auto"/>
      <w:jc w:val="both"/>
    </w:pPr>
    <w:rPr>
      <w:rFonts w:ascii="Arial Narrow" w:hAnsi="Arial Narrow"/>
      <w:sz w:val="20"/>
      <w:szCs w:val="24"/>
      <w:lang w:val="en-GB" w:eastAsia="en-US"/>
    </w:rPr>
  </w:style>
  <w:style w:type="paragraph" w:styleId="Parakstszemobjekta">
    <w:name w:val="caption"/>
    <w:basedOn w:val="Parasts"/>
    <w:next w:val="Parasts"/>
    <w:qFormat/>
    <w:rsid w:val="00F4544B"/>
    <w:pPr>
      <w:spacing w:before="200" w:after="0" w:line="240" w:lineRule="auto"/>
    </w:pPr>
    <w:rPr>
      <w:rFonts w:ascii="Arial" w:hAnsi="Arial"/>
      <w:b/>
      <w:sz w:val="20"/>
      <w:szCs w:val="20"/>
      <w:lang w:eastAsia="en-US"/>
    </w:rPr>
  </w:style>
  <w:style w:type="character" w:styleId="Izmantotahipersaite">
    <w:name w:val="FollowedHyperlink"/>
    <w:uiPriority w:val="99"/>
    <w:semiHidden/>
    <w:unhideWhenUsed/>
    <w:rsid w:val="00185B6E"/>
    <w:rPr>
      <w:color w:val="800080"/>
      <w:u w:val="single"/>
    </w:rPr>
  </w:style>
  <w:style w:type="paragraph" w:styleId="Bezatstarpm">
    <w:name w:val="No Spacing"/>
    <w:uiPriority w:val="1"/>
    <w:qFormat/>
    <w:rsid w:val="00DE0B38"/>
    <w:rPr>
      <w:rFonts w:ascii="Calibri" w:eastAsia="Times New Roman" w:hAnsi="Calibri"/>
      <w:sz w:val="22"/>
      <w:szCs w:val="22"/>
    </w:rPr>
  </w:style>
  <w:style w:type="character" w:customStyle="1" w:styleId="Virsraksts6Rakstz">
    <w:name w:val="Virsraksts 6 Rakstz."/>
    <w:basedOn w:val="Noklusjumarindkopasfonts"/>
    <w:link w:val="Virsraksts6"/>
    <w:rsid w:val="00B05609"/>
    <w:rPr>
      <w:rFonts w:ascii="Times New Roman" w:eastAsia="Times New Roman" w:hAnsi="Times New Roman" w:cs="Mangal"/>
      <w:b/>
      <w:bCs/>
      <w:color w:val="000000"/>
      <w:spacing w:val="-9"/>
      <w:sz w:val="23"/>
      <w:szCs w:val="23"/>
      <w:lang w:eastAsia="en-US" w:bidi="sa-IN"/>
    </w:rPr>
  </w:style>
  <w:style w:type="character" w:customStyle="1" w:styleId="ListLabel16">
    <w:name w:val="ListLabel 16"/>
    <w:qFormat/>
    <w:rsid w:val="00AF27E2"/>
    <w:rPr>
      <w:rFonts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22483">
      <w:bodyDiv w:val="1"/>
      <w:marLeft w:val="0"/>
      <w:marRight w:val="0"/>
      <w:marTop w:val="0"/>
      <w:marBottom w:val="0"/>
      <w:divBdr>
        <w:top w:val="none" w:sz="0" w:space="0" w:color="auto"/>
        <w:left w:val="none" w:sz="0" w:space="0" w:color="auto"/>
        <w:bottom w:val="none" w:sz="0" w:space="0" w:color="auto"/>
        <w:right w:val="none" w:sz="0" w:space="0" w:color="auto"/>
      </w:divBdr>
    </w:div>
    <w:div w:id="56588108">
      <w:bodyDiv w:val="1"/>
      <w:marLeft w:val="0"/>
      <w:marRight w:val="0"/>
      <w:marTop w:val="0"/>
      <w:marBottom w:val="0"/>
      <w:divBdr>
        <w:top w:val="none" w:sz="0" w:space="0" w:color="auto"/>
        <w:left w:val="none" w:sz="0" w:space="0" w:color="auto"/>
        <w:bottom w:val="none" w:sz="0" w:space="0" w:color="auto"/>
        <w:right w:val="none" w:sz="0" w:space="0" w:color="auto"/>
      </w:divBdr>
    </w:div>
    <w:div w:id="57900324">
      <w:bodyDiv w:val="1"/>
      <w:marLeft w:val="0"/>
      <w:marRight w:val="0"/>
      <w:marTop w:val="0"/>
      <w:marBottom w:val="0"/>
      <w:divBdr>
        <w:top w:val="none" w:sz="0" w:space="0" w:color="auto"/>
        <w:left w:val="none" w:sz="0" w:space="0" w:color="auto"/>
        <w:bottom w:val="none" w:sz="0" w:space="0" w:color="auto"/>
        <w:right w:val="none" w:sz="0" w:space="0" w:color="auto"/>
      </w:divBdr>
    </w:div>
    <w:div w:id="88670510">
      <w:bodyDiv w:val="1"/>
      <w:marLeft w:val="0"/>
      <w:marRight w:val="0"/>
      <w:marTop w:val="0"/>
      <w:marBottom w:val="0"/>
      <w:divBdr>
        <w:top w:val="none" w:sz="0" w:space="0" w:color="auto"/>
        <w:left w:val="none" w:sz="0" w:space="0" w:color="auto"/>
        <w:bottom w:val="none" w:sz="0" w:space="0" w:color="auto"/>
        <w:right w:val="none" w:sz="0" w:space="0" w:color="auto"/>
      </w:divBdr>
    </w:div>
    <w:div w:id="144856391">
      <w:bodyDiv w:val="1"/>
      <w:marLeft w:val="0"/>
      <w:marRight w:val="0"/>
      <w:marTop w:val="0"/>
      <w:marBottom w:val="0"/>
      <w:divBdr>
        <w:top w:val="none" w:sz="0" w:space="0" w:color="auto"/>
        <w:left w:val="none" w:sz="0" w:space="0" w:color="auto"/>
        <w:bottom w:val="none" w:sz="0" w:space="0" w:color="auto"/>
        <w:right w:val="none" w:sz="0" w:space="0" w:color="auto"/>
      </w:divBdr>
    </w:div>
    <w:div w:id="162403314">
      <w:bodyDiv w:val="1"/>
      <w:marLeft w:val="0"/>
      <w:marRight w:val="0"/>
      <w:marTop w:val="0"/>
      <w:marBottom w:val="0"/>
      <w:divBdr>
        <w:top w:val="none" w:sz="0" w:space="0" w:color="auto"/>
        <w:left w:val="none" w:sz="0" w:space="0" w:color="auto"/>
        <w:bottom w:val="none" w:sz="0" w:space="0" w:color="auto"/>
        <w:right w:val="none" w:sz="0" w:space="0" w:color="auto"/>
      </w:divBdr>
    </w:div>
    <w:div w:id="183641460">
      <w:bodyDiv w:val="1"/>
      <w:marLeft w:val="0"/>
      <w:marRight w:val="0"/>
      <w:marTop w:val="0"/>
      <w:marBottom w:val="0"/>
      <w:divBdr>
        <w:top w:val="none" w:sz="0" w:space="0" w:color="auto"/>
        <w:left w:val="none" w:sz="0" w:space="0" w:color="auto"/>
        <w:bottom w:val="none" w:sz="0" w:space="0" w:color="auto"/>
        <w:right w:val="none" w:sz="0" w:space="0" w:color="auto"/>
      </w:divBdr>
    </w:div>
    <w:div w:id="232080623">
      <w:bodyDiv w:val="1"/>
      <w:marLeft w:val="0"/>
      <w:marRight w:val="0"/>
      <w:marTop w:val="0"/>
      <w:marBottom w:val="0"/>
      <w:divBdr>
        <w:top w:val="none" w:sz="0" w:space="0" w:color="auto"/>
        <w:left w:val="none" w:sz="0" w:space="0" w:color="auto"/>
        <w:bottom w:val="none" w:sz="0" w:space="0" w:color="auto"/>
        <w:right w:val="none" w:sz="0" w:space="0" w:color="auto"/>
      </w:divBdr>
    </w:div>
    <w:div w:id="336421168">
      <w:bodyDiv w:val="1"/>
      <w:marLeft w:val="0"/>
      <w:marRight w:val="0"/>
      <w:marTop w:val="0"/>
      <w:marBottom w:val="0"/>
      <w:divBdr>
        <w:top w:val="none" w:sz="0" w:space="0" w:color="auto"/>
        <w:left w:val="none" w:sz="0" w:space="0" w:color="auto"/>
        <w:bottom w:val="none" w:sz="0" w:space="0" w:color="auto"/>
        <w:right w:val="none" w:sz="0" w:space="0" w:color="auto"/>
      </w:divBdr>
    </w:div>
    <w:div w:id="388308157">
      <w:bodyDiv w:val="1"/>
      <w:marLeft w:val="0"/>
      <w:marRight w:val="0"/>
      <w:marTop w:val="0"/>
      <w:marBottom w:val="0"/>
      <w:divBdr>
        <w:top w:val="none" w:sz="0" w:space="0" w:color="auto"/>
        <w:left w:val="none" w:sz="0" w:space="0" w:color="auto"/>
        <w:bottom w:val="none" w:sz="0" w:space="0" w:color="auto"/>
        <w:right w:val="none" w:sz="0" w:space="0" w:color="auto"/>
      </w:divBdr>
    </w:div>
    <w:div w:id="405878434">
      <w:bodyDiv w:val="1"/>
      <w:marLeft w:val="0"/>
      <w:marRight w:val="0"/>
      <w:marTop w:val="0"/>
      <w:marBottom w:val="0"/>
      <w:divBdr>
        <w:top w:val="none" w:sz="0" w:space="0" w:color="auto"/>
        <w:left w:val="none" w:sz="0" w:space="0" w:color="auto"/>
        <w:bottom w:val="none" w:sz="0" w:space="0" w:color="auto"/>
        <w:right w:val="none" w:sz="0" w:space="0" w:color="auto"/>
      </w:divBdr>
    </w:div>
    <w:div w:id="501353990">
      <w:bodyDiv w:val="1"/>
      <w:marLeft w:val="0"/>
      <w:marRight w:val="0"/>
      <w:marTop w:val="0"/>
      <w:marBottom w:val="0"/>
      <w:divBdr>
        <w:top w:val="none" w:sz="0" w:space="0" w:color="auto"/>
        <w:left w:val="none" w:sz="0" w:space="0" w:color="auto"/>
        <w:bottom w:val="none" w:sz="0" w:space="0" w:color="auto"/>
        <w:right w:val="none" w:sz="0" w:space="0" w:color="auto"/>
      </w:divBdr>
    </w:div>
    <w:div w:id="516503634">
      <w:bodyDiv w:val="1"/>
      <w:marLeft w:val="0"/>
      <w:marRight w:val="0"/>
      <w:marTop w:val="0"/>
      <w:marBottom w:val="0"/>
      <w:divBdr>
        <w:top w:val="none" w:sz="0" w:space="0" w:color="auto"/>
        <w:left w:val="none" w:sz="0" w:space="0" w:color="auto"/>
        <w:bottom w:val="none" w:sz="0" w:space="0" w:color="auto"/>
        <w:right w:val="none" w:sz="0" w:space="0" w:color="auto"/>
      </w:divBdr>
    </w:div>
    <w:div w:id="551355541">
      <w:bodyDiv w:val="1"/>
      <w:marLeft w:val="0"/>
      <w:marRight w:val="0"/>
      <w:marTop w:val="0"/>
      <w:marBottom w:val="0"/>
      <w:divBdr>
        <w:top w:val="none" w:sz="0" w:space="0" w:color="auto"/>
        <w:left w:val="none" w:sz="0" w:space="0" w:color="auto"/>
        <w:bottom w:val="none" w:sz="0" w:space="0" w:color="auto"/>
        <w:right w:val="none" w:sz="0" w:space="0" w:color="auto"/>
      </w:divBdr>
    </w:div>
    <w:div w:id="554388129">
      <w:bodyDiv w:val="1"/>
      <w:marLeft w:val="0"/>
      <w:marRight w:val="0"/>
      <w:marTop w:val="0"/>
      <w:marBottom w:val="0"/>
      <w:divBdr>
        <w:top w:val="none" w:sz="0" w:space="0" w:color="auto"/>
        <w:left w:val="none" w:sz="0" w:space="0" w:color="auto"/>
        <w:bottom w:val="none" w:sz="0" w:space="0" w:color="auto"/>
        <w:right w:val="none" w:sz="0" w:space="0" w:color="auto"/>
      </w:divBdr>
    </w:div>
    <w:div w:id="578515552">
      <w:bodyDiv w:val="1"/>
      <w:marLeft w:val="0"/>
      <w:marRight w:val="0"/>
      <w:marTop w:val="0"/>
      <w:marBottom w:val="0"/>
      <w:divBdr>
        <w:top w:val="none" w:sz="0" w:space="0" w:color="auto"/>
        <w:left w:val="none" w:sz="0" w:space="0" w:color="auto"/>
        <w:bottom w:val="none" w:sz="0" w:space="0" w:color="auto"/>
        <w:right w:val="none" w:sz="0" w:space="0" w:color="auto"/>
      </w:divBdr>
    </w:div>
    <w:div w:id="582687693">
      <w:bodyDiv w:val="1"/>
      <w:marLeft w:val="0"/>
      <w:marRight w:val="0"/>
      <w:marTop w:val="0"/>
      <w:marBottom w:val="0"/>
      <w:divBdr>
        <w:top w:val="none" w:sz="0" w:space="0" w:color="auto"/>
        <w:left w:val="none" w:sz="0" w:space="0" w:color="auto"/>
        <w:bottom w:val="none" w:sz="0" w:space="0" w:color="auto"/>
        <w:right w:val="none" w:sz="0" w:space="0" w:color="auto"/>
      </w:divBdr>
    </w:div>
    <w:div w:id="584149025">
      <w:bodyDiv w:val="1"/>
      <w:marLeft w:val="0"/>
      <w:marRight w:val="0"/>
      <w:marTop w:val="0"/>
      <w:marBottom w:val="0"/>
      <w:divBdr>
        <w:top w:val="none" w:sz="0" w:space="0" w:color="auto"/>
        <w:left w:val="none" w:sz="0" w:space="0" w:color="auto"/>
        <w:bottom w:val="none" w:sz="0" w:space="0" w:color="auto"/>
        <w:right w:val="none" w:sz="0" w:space="0" w:color="auto"/>
      </w:divBdr>
    </w:div>
    <w:div w:id="649865648">
      <w:bodyDiv w:val="1"/>
      <w:marLeft w:val="0"/>
      <w:marRight w:val="0"/>
      <w:marTop w:val="0"/>
      <w:marBottom w:val="0"/>
      <w:divBdr>
        <w:top w:val="none" w:sz="0" w:space="0" w:color="auto"/>
        <w:left w:val="none" w:sz="0" w:space="0" w:color="auto"/>
        <w:bottom w:val="none" w:sz="0" w:space="0" w:color="auto"/>
        <w:right w:val="none" w:sz="0" w:space="0" w:color="auto"/>
      </w:divBdr>
    </w:div>
    <w:div w:id="669604307">
      <w:bodyDiv w:val="1"/>
      <w:marLeft w:val="0"/>
      <w:marRight w:val="0"/>
      <w:marTop w:val="0"/>
      <w:marBottom w:val="0"/>
      <w:divBdr>
        <w:top w:val="none" w:sz="0" w:space="0" w:color="auto"/>
        <w:left w:val="none" w:sz="0" w:space="0" w:color="auto"/>
        <w:bottom w:val="none" w:sz="0" w:space="0" w:color="auto"/>
        <w:right w:val="none" w:sz="0" w:space="0" w:color="auto"/>
      </w:divBdr>
    </w:div>
    <w:div w:id="700396703">
      <w:bodyDiv w:val="1"/>
      <w:marLeft w:val="0"/>
      <w:marRight w:val="0"/>
      <w:marTop w:val="0"/>
      <w:marBottom w:val="0"/>
      <w:divBdr>
        <w:top w:val="none" w:sz="0" w:space="0" w:color="auto"/>
        <w:left w:val="none" w:sz="0" w:space="0" w:color="auto"/>
        <w:bottom w:val="none" w:sz="0" w:space="0" w:color="auto"/>
        <w:right w:val="none" w:sz="0" w:space="0" w:color="auto"/>
      </w:divBdr>
    </w:div>
    <w:div w:id="767581116">
      <w:bodyDiv w:val="1"/>
      <w:marLeft w:val="0"/>
      <w:marRight w:val="0"/>
      <w:marTop w:val="0"/>
      <w:marBottom w:val="0"/>
      <w:divBdr>
        <w:top w:val="none" w:sz="0" w:space="0" w:color="auto"/>
        <w:left w:val="none" w:sz="0" w:space="0" w:color="auto"/>
        <w:bottom w:val="none" w:sz="0" w:space="0" w:color="auto"/>
        <w:right w:val="none" w:sz="0" w:space="0" w:color="auto"/>
      </w:divBdr>
    </w:div>
    <w:div w:id="785930314">
      <w:bodyDiv w:val="1"/>
      <w:marLeft w:val="0"/>
      <w:marRight w:val="0"/>
      <w:marTop w:val="0"/>
      <w:marBottom w:val="0"/>
      <w:divBdr>
        <w:top w:val="none" w:sz="0" w:space="0" w:color="auto"/>
        <w:left w:val="none" w:sz="0" w:space="0" w:color="auto"/>
        <w:bottom w:val="none" w:sz="0" w:space="0" w:color="auto"/>
        <w:right w:val="none" w:sz="0" w:space="0" w:color="auto"/>
      </w:divBdr>
    </w:div>
    <w:div w:id="826171141">
      <w:bodyDiv w:val="1"/>
      <w:marLeft w:val="0"/>
      <w:marRight w:val="0"/>
      <w:marTop w:val="0"/>
      <w:marBottom w:val="0"/>
      <w:divBdr>
        <w:top w:val="none" w:sz="0" w:space="0" w:color="auto"/>
        <w:left w:val="none" w:sz="0" w:space="0" w:color="auto"/>
        <w:bottom w:val="none" w:sz="0" w:space="0" w:color="auto"/>
        <w:right w:val="none" w:sz="0" w:space="0" w:color="auto"/>
      </w:divBdr>
    </w:div>
    <w:div w:id="844172485">
      <w:bodyDiv w:val="1"/>
      <w:marLeft w:val="0"/>
      <w:marRight w:val="0"/>
      <w:marTop w:val="0"/>
      <w:marBottom w:val="0"/>
      <w:divBdr>
        <w:top w:val="none" w:sz="0" w:space="0" w:color="auto"/>
        <w:left w:val="none" w:sz="0" w:space="0" w:color="auto"/>
        <w:bottom w:val="none" w:sz="0" w:space="0" w:color="auto"/>
        <w:right w:val="none" w:sz="0" w:space="0" w:color="auto"/>
      </w:divBdr>
    </w:div>
    <w:div w:id="867328103">
      <w:bodyDiv w:val="1"/>
      <w:marLeft w:val="0"/>
      <w:marRight w:val="0"/>
      <w:marTop w:val="0"/>
      <w:marBottom w:val="0"/>
      <w:divBdr>
        <w:top w:val="none" w:sz="0" w:space="0" w:color="auto"/>
        <w:left w:val="none" w:sz="0" w:space="0" w:color="auto"/>
        <w:bottom w:val="none" w:sz="0" w:space="0" w:color="auto"/>
        <w:right w:val="none" w:sz="0" w:space="0" w:color="auto"/>
      </w:divBdr>
    </w:div>
    <w:div w:id="870997546">
      <w:bodyDiv w:val="1"/>
      <w:marLeft w:val="0"/>
      <w:marRight w:val="0"/>
      <w:marTop w:val="0"/>
      <w:marBottom w:val="0"/>
      <w:divBdr>
        <w:top w:val="none" w:sz="0" w:space="0" w:color="auto"/>
        <w:left w:val="none" w:sz="0" w:space="0" w:color="auto"/>
        <w:bottom w:val="none" w:sz="0" w:space="0" w:color="auto"/>
        <w:right w:val="none" w:sz="0" w:space="0" w:color="auto"/>
      </w:divBdr>
    </w:div>
    <w:div w:id="931621716">
      <w:bodyDiv w:val="1"/>
      <w:marLeft w:val="0"/>
      <w:marRight w:val="0"/>
      <w:marTop w:val="0"/>
      <w:marBottom w:val="0"/>
      <w:divBdr>
        <w:top w:val="none" w:sz="0" w:space="0" w:color="auto"/>
        <w:left w:val="none" w:sz="0" w:space="0" w:color="auto"/>
        <w:bottom w:val="none" w:sz="0" w:space="0" w:color="auto"/>
        <w:right w:val="none" w:sz="0" w:space="0" w:color="auto"/>
      </w:divBdr>
    </w:div>
    <w:div w:id="1017656149">
      <w:bodyDiv w:val="1"/>
      <w:marLeft w:val="0"/>
      <w:marRight w:val="0"/>
      <w:marTop w:val="0"/>
      <w:marBottom w:val="0"/>
      <w:divBdr>
        <w:top w:val="none" w:sz="0" w:space="0" w:color="auto"/>
        <w:left w:val="none" w:sz="0" w:space="0" w:color="auto"/>
        <w:bottom w:val="none" w:sz="0" w:space="0" w:color="auto"/>
        <w:right w:val="none" w:sz="0" w:space="0" w:color="auto"/>
      </w:divBdr>
    </w:div>
    <w:div w:id="1024939187">
      <w:bodyDiv w:val="1"/>
      <w:marLeft w:val="0"/>
      <w:marRight w:val="0"/>
      <w:marTop w:val="0"/>
      <w:marBottom w:val="0"/>
      <w:divBdr>
        <w:top w:val="none" w:sz="0" w:space="0" w:color="auto"/>
        <w:left w:val="none" w:sz="0" w:space="0" w:color="auto"/>
        <w:bottom w:val="none" w:sz="0" w:space="0" w:color="auto"/>
        <w:right w:val="none" w:sz="0" w:space="0" w:color="auto"/>
      </w:divBdr>
    </w:div>
    <w:div w:id="1186821544">
      <w:bodyDiv w:val="1"/>
      <w:marLeft w:val="0"/>
      <w:marRight w:val="0"/>
      <w:marTop w:val="0"/>
      <w:marBottom w:val="0"/>
      <w:divBdr>
        <w:top w:val="none" w:sz="0" w:space="0" w:color="auto"/>
        <w:left w:val="none" w:sz="0" w:space="0" w:color="auto"/>
        <w:bottom w:val="none" w:sz="0" w:space="0" w:color="auto"/>
        <w:right w:val="none" w:sz="0" w:space="0" w:color="auto"/>
      </w:divBdr>
    </w:div>
    <w:div w:id="1196384798">
      <w:bodyDiv w:val="1"/>
      <w:marLeft w:val="0"/>
      <w:marRight w:val="0"/>
      <w:marTop w:val="0"/>
      <w:marBottom w:val="0"/>
      <w:divBdr>
        <w:top w:val="none" w:sz="0" w:space="0" w:color="auto"/>
        <w:left w:val="none" w:sz="0" w:space="0" w:color="auto"/>
        <w:bottom w:val="none" w:sz="0" w:space="0" w:color="auto"/>
        <w:right w:val="none" w:sz="0" w:space="0" w:color="auto"/>
      </w:divBdr>
    </w:div>
    <w:div w:id="1235705087">
      <w:bodyDiv w:val="1"/>
      <w:marLeft w:val="0"/>
      <w:marRight w:val="0"/>
      <w:marTop w:val="0"/>
      <w:marBottom w:val="0"/>
      <w:divBdr>
        <w:top w:val="none" w:sz="0" w:space="0" w:color="auto"/>
        <w:left w:val="none" w:sz="0" w:space="0" w:color="auto"/>
        <w:bottom w:val="none" w:sz="0" w:space="0" w:color="auto"/>
        <w:right w:val="none" w:sz="0" w:space="0" w:color="auto"/>
      </w:divBdr>
    </w:div>
    <w:div w:id="1246301554">
      <w:bodyDiv w:val="1"/>
      <w:marLeft w:val="0"/>
      <w:marRight w:val="0"/>
      <w:marTop w:val="0"/>
      <w:marBottom w:val="0"/>
      <w:divBdr>
        <w:top w:val="none" w:sz="0" w:space="0" w:color="auto"/>
        <w:left w:val="none" w:sz="0" w:space="0" w:color="auto"/>
        <w:bottom w:val="none" w:sz="0" w:space="0" w:color="auto"/>
        <w:right w:val="none" w:sz="0" w:space="0" w:color="auto"/>
      </w:divBdr>
    </w:div>
    <w:div w:id="1255434099">
      <w:bodyDiv w:val="1"/>
      <w:marLeft w:val="0"/>
      <w:marRight w:val="0"/>
      <w:marTop w:val="0"/>
      <w:marBottom w:val="0"/>
      <w:divBdr>
        <w:top w:val="none" w:sz="0" w:space="0" w:color="auto"/>
        <w:left w:val="none" w:sz="0" w:space="0" w:color="auto"/>
        <w:bottom w:val="none" w:sz="0" w:space="0" w:color="auto"/>
        <w:right w:val="none" w:sz="0" w:space="0" w:color="auto"/>
      </w:divBdr>
    </w:div>
    <w:div w:id="1258294324">
      <w:bodyDiv w:val="1"/>
      <w:marLeft w:val="0"/>
      <w:marRight w:val="0"/>
      <w:marTop w:val="0"/>
      <w:marBottom w:val="0"/>
      <w:divBdr>
        <w:top w:val="none" w:sz="0" w:space="0" w:color="auto"/>
        <w:left w:val="none" w:sz="0" w:space="0" w:color="auto"/>
        <w:bottom w:val="none" w:sz="0" w:space="0" w:color="auto"/>
        <w:right w:val="none" w:sz="0" w:space="0" w:color="auto"/>
      </w:divBdr>
    </w:div>
    <w:div w:id="1319530804">
      <w:bodyDiv w:val="1"/>
      <w:marLeft w:val="0"/>
      <w:marRight w:val="0"/>
      <w:marTop w:val="0"/>
      <w:marBottom w:val="0"/>
      <w:divBdr>
        <w:top w:val="none" w:sz="0" w:space="0" w:color="auto"/>
        <w:left w:val="none" w:sz="0" w:space="0" w:color="auto"/>
        <w:bottom w:val="none" w:sz="0" w:space="0" w:color="auto"/>
        <w:right w:val="none" w:sz="0" w:space="0" w:color="auto"/>
      </w:divBdr>
    </w:div>
    <w:div w:id="1366905403">
      <w:bodyDiv w:val="1"/>
      <w:marLeft w:val="0"/>
      <w:marRight w:val="0"/>
      <w:marTop w:val="0"/>
      <w:marBottom w:val="0"/>
      <w:divBdr>
        <w:top w:val="none" w:sz="0" w:space="0" w:color="auto"/>
        <w:left w:val="none" w:sz="0" w:space="0" w:color="auto"/>
        <w:bottom w:val="none" w:sz="0" w:space="0" w:color="auto"/>
        <w:right w:val="none" w:sz="0" w:space="0" w:color="auto"/>
      </w:divBdr>
    </w:div>
    <w:div w:id="1385369336">
      <w:bodyDiv w:val="1"/>
      <w:marLeft w:val="0"/>
      <w:marRight w:val="0"/>
      <w:marTop w:val="0"/>
      <w:marBottom w:val="0"/>
      <w:divBdr>
        <w:top w:val="none" w:sz="0" w:space="0" w:color="auto"/>
        <w:left w:val="none" w:sz="0" w:space="0" w:color="auto"/>
        <w:bottom w:val="none" w:sz="0" w:space="0" w:color="auto"/>
        <w:right w:val="none" w:sz="0" w:space="0" w:color="auto"/>
      </w:divBdr>
    </w:div>
    <w:div w:id="1494253167">
      <w:bodyDiv w:val="1"/>
      <w:marLeft w:val="0"/>
      <w:marRight w:val="0"/>
      <w:marTop w:val="0"/>
      <w:marBottom w:val="0"/>
      <w:divBdr>
        <w:top w:val="none" w:sz="0" w:space="0" w:color="auto"/>
        <w:left w:val="none" w:sz="0" w:space="0" w:color="auto"/>
        <w:bottom w:val="none" w:sz="0" w:space="0" w:color="auto"/>
        <w:right w:val="none" w:sz="0" w:space="0" w:color="auto"/>
      </w:divBdr>
    </w:div>
    <w:div w:id="1560246680">
      <w:bodyDiv w:val="1"/>
      <w:marLeft w:val="0"/>
      <w:marRight w:val="0"/>
      <w:marTop w:val="0"/>
      <w:marBottom w:val="0"/>
      <w:divBdr>
        <w:top w:val="none" w:sz="0" w:space="0" w:color="auto"/>
        <w:left w:val="none" w:sz="0" w:space="0" w:color="auto"/>
        <w:bottom w:val="none" w:sz="0" w:space="0" w:color="auto"/>
        <w:right w:val="none" w:sz="0" w:space="0" w:color="auto"/>
      </w:divBdr>
    </w:div>
    <w:div w:id="1635477218">
      <w:bodyDiv w:val="1"/>
      <w:marLeft w:val="0"/>
      <w:marRight w:val="0"/>
      <w:marTop w:val="0"/>
      <w:marBottom w:val="0"/>
      <w:divBdr>
        <w:top w:val="none" w:sz="0" w:space="0" w:color="auto"/>
        <w:left w:val="none" w:sz="0" w:space="0" w:color="auto"/>
        <w:bottom w:val="none" w:sz="0" w:space="0" w:color="auto"/>
        <w:right w:val="none" w:sz="0" w:space="0" w:color="auto"/>
      </w:divBdr>
    </w:div>
    <w:div w:id="1737513567">
      <w:bodyDiv w:val="1"/>
      <w:marLeft w:val="0"/>
      <w:marRight w:val="0"/>
      <w:marTop w:val="0"/>
      <w:marBottom w:val="0"/>
      <w:divBdr>
        <w:top w:val="none" w:sz="0" w:space="0" w:color="auto"/>
        <w:left w:val="none" w:sz="0" w:space="0" w:color="auto"/>
        <w:bottom w:val="none" w:sz="0" w:space="0" w:color="auto"/>
        <w:right w:val="none" w:sz="0" w:space="0" w:color="auto"/>
      </w:divBdr>
    </w:div>
    <w:div w:id="1800882121">
      <w:bodyDiv w:val="1"/>
      <w:marLeft w:val="0"/>
      <w:marRight w:val="0"/>
      <w:marTop w:val="0"/>
      <w:marBottom w:val="0"/>
      <w:divBdr>
        <w:top w:val="none" w:sz="0" w:space="0" w:color="auto"/>
        <w:left w:val="none" w:sz="0" w:space="0" w:color="auto"/>
        <w:bottom w:val="none" w:sz="0" w:space="0" w:color="auto"/>
        <w:right w:val="none" w:sz="0" w:space="0" w:color="auto"/>
      </w:divBdr>
    </w:div>
    <w:div w:id="1848985319">
      <w:bodyDiv w:val="1"/>
      <w:marLeft w:val="0"/>
      <w:marRight w:val="0"/>
      <w:marTop w:val="0"/>
      <w:marBottom w:val="0"/>
      <w:divBdr>
        <w:top w:val="none" w:sz="0" w:space="0" w:color="auto"/>
        <w:left w:val="none" w:sz="0" w:space="0" w:color="auto"/>
        <w:bottom w:val="none" w:sz="0" w:space="0" w:color="auto"/>
        <w:right w:val="none" w:sz="0" w:space="0" w:color="auto"/>
      </w:divBdr>
    </w:div>
    <w:div w:id="1889343010">
      <w:bodyDiv w:val="1"/>
      <w:marLeft w:val="0"/>
      <w:marRight w:val="0"/>
      <w:marTop w:val="0"/>
      <w:marBottom w:val="0"/>
      <w:divBdr>
        <w:top w:val="none" w:sz="0" w:space="0" w:color="auto"/>
        <w:left w:val="none" w:sz="0" w:space="0" w:color="auto"/>
        <w:bottom w:val="none" w:sz="0" w:space="0" w:color="auto"/>
        <w:right w:val="none" w:sz="0" w:space="0" w:color="auto"/>
      </w:divBdr>
    </w:div>
    <w:div w:id="1905138678">
      <w:bodyDiv w:val="1"/>
      <w:marLeft w:val="0"/>
      <w:marRight w:val="0"/>
      <w:marTop w:val="0"/>
      <w:marBottom w:val="0"/>
      <w:divBdr>
        <w:top w:val="none" w:sz="0" w:space="0" w:color="auto"/>
        <w:left w:val="none" w:sz="0" w:space="0" w:color="auto"/>
        <w:bottom w:val="none" w:sz="0" w:space="0" w:color="auto"/>
        <w:right w:val="none" w:sz="0" w:space="0" w:color="auto"/>
      </w:divBdr>
    </w:div>
    <w:div w:id="1928616365">
      <w:bodyDiv w:val="1"/>
      <w:marLeft w:val="0"/>
      <w:marRight w:val="0"/>
      <w:marTop w:val="0"/>
      <w:marBottom w:val="0"/>
      <w:divBdr>
        <w:top w:val="none" w:sz="0" w:space="0" w:color="auto"/>
        <w:left w:val="none" w:sz="0" w:space="0" w:color="auto"/>
        <w:bottom w:val="none" w:sz="0" w:space="0" w:color="auto"/>
        <w:right w:val="none" w:sz="0" w:space="0" w:color="auto"/>
      </w:divBdr>
    </w:div>
    <w:div w:id="1931886913">
      <w:bodyDiv w:val="1"/>
      <w:marLeft w:val="0"/>
      <w:marRight w:val="0"/>
      <w:marTop w:val="0"/>
      <w:marBottom w:val="0"/>
      <w:divBdr>
        <w:top w:val="none" w:sz="0" w:space="0" w:color="auto"/>
        <w:left w:val="none" w:sz="0" w:space="0" w:color="auto"/>
        <w:bottom w:val="none" w:sz="0" w:space="0" w:color="auto"/>
        <w:right w:val="none" w:sz="0" w:space="0" w:color="auto"/>
      </w:divBdr>
    </w:div>
    <w:div w:id="1934707097">
      <w:bodyDiv w:val="1"/>
      <w:marLeft w:val="0"/>
      <w:marRight w:val="0"/>
      <w:marTop w:val="0"/>
      <w:marBottom w:val="0"/>
      <w:divBdr>
        <w:top w:val="none" w:sz="0" w:space="0" w:color="auto"/>
        <w:left w:val="none" w:sz="0" w:space="0" w:color="auto"/>
        <w:bottom w:val="none" w:sz="0" w:space="0" w:color="auto"/>
        <w:right w:val="none" w:sz="0" w:space="0" w:color="auto"/>
      </w:divBdr>
    </w:div>
    <w:div w:id="2019387335">
      <w:bodyDiv w:val="1"/>
      <w:marLeft w:val="0"/>
      <w:marRight w:val="0"/>
      <w:marTop w:val="0"/>
      <w:marBottom w:val="0"/>
      <w:divBdr>
        <w:top w:val="none" w:sz="0" w:space="0" w:color="auto"/>
        <w:left w:val="none" w:sz="0" w:space="0" w:color="auto"/>
        <w:bottom w:val="none" w:sz="0" w:space="0" w:color="auto"/>
        <w:right w:val="none" w:sz="0" w:space="0" w:color="auto"/>
      </w:divBdr>
    </w:div>
    <w:div w:id="209200544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Microsoft_Excel_97-2003_Worksheet.xls"/><Relationship Id="rId18" Type="http://schemas.openxmlformats.org/officeDocument/2006/relationships/image" Target="media/image5.emf"/><Relationship Id="rId3" Type="http://schemas.openxmlformats.org/officeDocument/2006/relationships/styles" Target="styles.xml"/><Relationship Id="rId21" Type="http://schemas.openxmlformats.org/officeDocument/2006/relationships/oleObject" Target="embeddings/Microsoft_Excel_97-2003_Worksheet4.xls"/><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oleObject" Target="embeddings/Microsoft_Excel_97-2003_Worksheet2.xls"/><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User\Desktop\OPERAT&#298;VIE%20GADA%20P&#256;RSKATA%20DATI\Gada%20%2001.01.2022.-31.03.2022.%20p&#257;rskats%20.docx"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Microsoft_Excel_97-2003_Worksheet1.xls"/><Relationship Id="rId23" Type="http://schemas.openxmlformats.org/officeDocument/2006/relationships/footer" Target="footer1.xml"/><Relationship Id="rId10" Type="http://schemas.openxmlformats.org/officeDocument/2006/relationships/hyperlink" Target="file:///C:\Users\User\Desktop\OPERAT&#298;VIE%20GADA%20P&#256;RSKATA%20DATI\Gada%20%2001.01.2022.-31.03.2022.%20p&#257;rskats%20.docx" TargetMode="External"/><Relationship Id="rId19" Type="http://schemas.openxmlformats.org/officeDocument/2006/relationships/oleObject" Target="embeddings/Microsoft_Excel_97-2003_Worksheet3.xls"/><Relationship Id="rId4" Type="http://schemas.openxmlformats.org/officeDocument/2006/relationships/settings" Target="settings.xml"/><Relationship Id="rId9" Type="http://schemas.openxmlformats.org/officeDocument/2006/relationships/hyperlink" Target="file:///C:\Users\User\Desktop\OPERAT&#298;VIE%20GADA%20P&#256;RSKATA%20DATI\Gada%20%2001.01.2022.-31.03.2022.%20p&#257;rskats%20.docx" TargetMode="External"/><Relationship Id="rId14" Type="http://schemas.openxmlformats.org/officeDocument/2006/relationships/image" Target="media/image3.emf"/><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68838-200E-4CA8-9498-A868EFAE9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9549</Words>
  <Characters>5443</Characters>
  <Application>Microsoft Office Word</Application>
  <DocSecurity>0</DocSecurity>
  <Lines>45</Lines>
  <Paragraphs>29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14963</CharactersWithSpaces>
  <SharedDoc>false</SharedDoc>
  <HLinks>
    <vt:vector size="36" baseType="variant">
      <vt:variant>
        <vt:i4>1179701</vt:i4>
      </vt:variant>
      <vt:variant>
        <vt:i4>26</vt:i4>
      </vt:variant>
      <vt:variant>
        <vt:i4>0</vt:i4>
      </vt:variant>
      <vt:variant>
        <vt:i4>5</vt:i4>
      </vt:variant>
      <vt:variant>
        <vt:lpwstr/>
      </vt:variant>
      <vt:variant>
        <vt:lpwstr>_Toc473130138</vt:lpwstr>
      </vt:variant>
      <vt:variant>
        <vt:i4>1179701</vt:i4>
      </vt:variant>
      <vt:variant>
        <vt:i4>23</vt:i4>
      </vt:variant>
      <vt:variant>
        <vt:i4>0</vt:i4>
      </vt:variant>
      <vt:variant>
        <vt:i4>5</vt:i4>
      </vt:variant>
      <vt:variant>
        <vt:lpwstr/>
      </vt:variant>
      <vt:variant>
        <vt:lpwstr>_Toc473130137</vt:lpwstr>
      </vt:variant>
      <vt:variant>
        <vt:i4>1179701</vt:i4>
      </vt:variant>
      <vt:variant>
        <vt:i4>20</vt:i4>
      </vt:variant>
      <vt:variant>
        <vt:i4>0</vt:i4>
      </vt:variant>
      <vt:variant>
        <vt:i4>5</vt:i4>
      </vt:variant>
      <vt:variant>
        <vt:lpwstr/>
      </vt:variant>
      <vt:variant>
        <vt:lpwstr>_Toc473130136</vt:lpwstr>
      </vt:variant>
      <vt:variant>
        <vt:i4>1179701</vt:i4>
      </vt:variant>
      <vt:variant>
        <vt:i4>14</vt:i4>
      </vt:variant>
      <vt:variant>
        <vt:i4>0</vt:i4>
      </vt:variant>
      <vt:variant>
        <vt:i4>5</vt:i4>
      </vt:variant>
      <vt:variant>
        <vt:lpwstr/>
      </vt:variant>
      <vt:variant>
        <vt:lpwstr>_Toc473130135</vt:lpwstr>
      </vt:variant>
      <vt:variant>
        <vt:i4>1179701</vt:i4>
      </vt:variant>
      <vt:variant>
        <vt:i4>8</vt:i4>
      </vt:variant>
      <vt:variant>
        <vt:i4>0</vt:i4>
      </vt:variant>
      <vt:variant>
        <vt:i4>5</vt:i4>
      </vt:variant>
      <vt:variant>
        <vt:lpwstr/>
      </vt:variant>
      <vt:variant>
        <vt:lpwstr>_Toc473130134</vt:lpwstr>
      </vt:variant>
      <vt:variant>
        <vt:i4>1179701</vt:i4>
      </vt:variant>
      <vt:variant>
        <vt:i4>2</vt:i4>
      </vt:variant>
      <vt:variant>
        <vt:i4>0</vt:i4>
      </vt:variant>
      <vt:variant>
        <vt:i4>5</vt:i4>
      </vt:variant>
      <vt:variant>
        <vt:lpwstr/>
      </vt:variant>
      <vt:variant>
        <vt:lpwstr>_Toc473130133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User_3</dc:creator>
  <cp:lastModifiedBy>User</cp:lastModifiedBy>
  <cp:revision>2</cp:revision>
  <cp:lastPrinted>2022-11-02T04:42:00Z</cp:lastPrinted>
  <dcterms:created xsi:type="dcterms:W3CDTF">2023-01-23T10:37:00Z</dcterms:created>
  <dcterms:modified xsi:type="dcterms:W3CDTF">2023-01-23T10:37:00Z</dcterms:modified>
</cp:coreProperties>
</file>